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DEEE" w14:textId="77777777" w:rsidR="00886967" w:rsidRDefault="00886967" w:rsidP="00886967">
      <w:pPr>
        <w:pStyle w:val="Heading1"/>
      </w:pPr>
      <w:r>
        <w:t xml:space="preserve">Pupil Premium: Review of outcomes, 2020-21 – Rockwood Academy. </w:t>
      </w:r>
    </w:p>
    <w:p w14:paraId="56BB073C" w14:textId="77777777" w:rsidR="00886967" w:rsidRDefault="00886967" w:rsidP="00886967">
      <w:pPr>
        <w:pStyle w:val="Heading2"/>
      </w:pPr>
      <w:r>
        <w:t xml:space="preserve">Pupil premium strategy outcomes: </w:t>
      </w:r>
    </w:p>
    <w:p w14:paraId="60115A2B" w14:textId="77777777" w:rsidR="00886967" w:rsidRDefault="00886967" w:rsidP="00886967">
      <w:r>
        <w:t xml:space="preserve">This details the impact that our pupil premium activity had on students in the 2020 - 2021 academic year. </w:t>
      </w:r>
    </w:p>
    <w:tbl>
      <w:tblPr>
        <w:tblW w:w="9726" w:type="dxa"/>
        <w:tblCellMar>
          <w:left w:w="10" w:type="dxa"/>
          <w:right w:w="10" w:type="dxa"/>
        </w:tblCellMar>
        <w:tblLook w:val="04A0" w:firstRow="1" w:lastRow="0" w:firstColumn="1" w:lastColumn="0" w:noHBand="0" w:noVBand="1"/>
      </w:tblPr>
      <w:tblGrid>
        <w:gridCol w:w="4957"/>
        <w:gridCol w:w="4760"/>
        <w:gridCol w:w="9"/>
      </w:tblGrid>
      <w:tr w:rsidR="00886967" w14:paraId="10BC6032" w14:textId="77777777" w:rsidTr="0010241A">
        <w:trPr>
          <w:trHeight w:val="1102"/>
        </w:trPr>
        <w:tc>
          <w:tcPr>
            <w:tcW w:w="9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0781" w14:textId="6DB06773" w:rsidR="00886967" w:rsidRDefault="00886967" w:rsidP="0010241A">
            <w:pPr>
              <w:spacing w:before="120"/>
            </w:pPr>
            <w:r>
              <w:rPr>
                <w:i/>
              </w:rPr>
              <w:t xml:space="preserve">Due to COVID-19, performance measures have not been published for 2020-21.  </w:t>
            </w:r>
            <w:r>
              <w:rPr>
                <w:i/>
                <w:lang w:eastAsia="en-US"/>
              </w:rPr>
              <w:t xml:space="preserve">Given this, evaluations undertaken during the 2020-2021 academic year include standardised teacher administered tests or diagnostic assessments.  </w:t>
            </w:r>
          </w:p>
          <w:p w14:paraId="32D59836" w14:textId="77777777" w:rsidR="00886967" w:rsidRDefault="00886967" w:rsidP="0010241A">
            <w:pPr>
              <w:rPr>
                <w:i/>
                <w:lang w:eastAsia="en-US"/>
              </w:rPr>
            </w:pPr>
            <w:r>
              <w:rPr>
                <w:i/>
                <w:lang w:eastAsia="en-US"/>
              </w:rPr>
              <w:t xml:space="preserve">Last year marked the end of the strategy plan for 2020-21. This assessment takes into account how successfully the intended outcomes of that plan were met.  </w:t>
            </w:r>
          </w:p>
          <w:p w14:paraId="473D19DF" w14:textId="77777777" w:rsidR="00886967" w:rsidRPr="000D32C7" w:rsidRDefault="00886967" w:rsidP="0010241A">
            <w:pPr>
              <w:rPr>
                <w:i/>
                <w:color w:val="000000" w:themeColor="text1"/>
                <w:u w:val="single"/>
                <w:lang w:eastAsia="en-US"/>
              </w:rPr>
            </w:pPr>
            <w:r w:rsidRPr="000D32C7">
              <w:rPr>
                <w:i/>
                <w:color w:val="000000" w:themeColor="text1"/>
                <w:u w:val="single"/>
                <w:lang w:eastAsia="en-US"/>
              </w:rPr>
              <w:t xml:space="preserve">Rockwood Academy – Analysis 2020-21. </w:t>
            </w:r>
            <w:r>
              <w:rPr>
                <w:i/>
                <w:color w:val="000000" w:themeColor="text1"/>
                <w:u w:val="single"/>
                <w:lang w:eastAsia="en-US"/>
              </w:rPr>
              <w:t xml:space="preserve"> Built into the text below is a synopsis against the strategy aspects highlighted in the 2020-21 Pupil Premium Strategy.  </w:t>
            </w:r>
          </w:p>
          <w:p w14:paraId="0E165A14" w14:textId="77777777" w:rsidR="00886967" w:rsidRPr="00886967" w:rsidRDefault="00886967" w:rsidP="0010241A">
            <w:pPr>
              <w:suppressAutoHyphens w:val="0"/>
              <w:autoSpaceDN/>
              <w:spacing w:before="120"/>
              <w:rPr>
                <w:b/>
                <w:color w:val="auto"/>
                <w:lang w:eastAsia="en-US"/>
              </w:rPr>
            </w:pPr>
            <w:r w:rsidRPr="00886967">
              <w:rPr>
                <w:b/>
                <w:noProof/>
              </w:rPr>
              <w:drawing>
                <wp:anchor distT="0" distB="0" distL="114300" distR="114300" simplePos="0" relativeHeight="251659264" behindDoc="1" locked="0" layoutInCell="1" allowOverlap="1" wp14:anchorId="0CBEACB8" wp14:editId="09F4C180">
                  <wp:simplePos x="0" y="0"/>
                  <wp:positionH relativeFrom="column">
                    <wp:posOffset>36830</wp:posOffset>
                  </wp:positionH>
                  <wp:positionV relativeFrom="paragraph">
                    <wp:posOffset>303530</wp:posOffset>
                  </wp:positionV>
                  <wp:extent cx="3686175" cy="847725"/>
                  <wp:effectExtent l="0" t="0" r="9525" b="9525"/>
                  <wp:wrapTight wrapText="bothSides">
                    <wp:wrapPolygon edited="0">
                      <wp:start x="0" y="0"/>
                      <wp:lineTo x="0" y="21357"/>
                      <wp:lineTo x="21544" y="21357"/>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686175" cy="847725"/>
                          </a:xfrm>
                          <a:prstGeom prst="rect">
                            <a:avLst/>
                          </a:prstGeom>
                        </pic:spPr>
                      </pic:pic>
                    </a:graphicData>
                  </a:graphic>
                  <wp14:sizeRelH relativeFrom="page">
                    <wp14:pctWidth>0</wp14:pctWidth>
                  </wp14:sizeRelH>
                  <wp14:sizeRelV relativeFrom="page">
                    <wp14:pctHeight>0</wp14:pctHeight>
                  </wp14:sizeRelV>
                </wp:anchor>
              </w:drawing>
            </w:r>
            <w:r w:rsidRPr="00886967">
              <w:rPr>
                <w:b/>
                <w:color w:val="auto"/>
                <w:lang w:eastAsia="en-US"/>
              </w:rPr>
              <w:t xml:space="preserve">Table A </w:t>
            </w:r>
          </w:p>
          <w:p w14:paraId="0A8A717C" w14:textId="77777777" w:rsidR="00886967" w:rsidRDefault="00886967" w:rsidP="0010241A">
            <w:pPr>
              <w:suppressAutoHyphens w:val="0"/>
              <w:autoSpaceDN/>
              <w:spacing w:before="120"/>
              <w:rPr>
                <w:color w:val="auto"/>
                <w:lang w:eastAsia="en-US"/>
              </w:rPr>
            </w:pPr>
          </w:p>
          <w:p w14:paraId="7C3048B5" w14:textId="77777777" w:rsidR="00886967" w:rsidRDefault="00886967" w:rsidP="0010241A">
            <w:pPr>
              <w:suppressAutoHyphens w:val="0"/>
              <w:autoSpaceDN/>
              <w:spacing w:before="120"/>
              <w:rPr>
                <w:color w:val="auto"/>
                <w:lang w:eastAsia="en-US"/>
              </w:rPr>
            </w:pPr>
          </w:p>
          <w:p w14:paraId="63623D77" w14:textId="77777777" w:rsidR="00886967" w:rsidRDefault="00886967" w:rsidP="0010241A">
            <w:pPr>
              <w:suppressAutoHyphens w:val="0"/>
              <w:autoSpaceDN/>
              <w:spacing w:before="120"/>
              <w:rPr>
                <w:color w:val="auto"/>
                <w:lang w:eastAsia="en-US"/>
              </w:rPr>
            </w:pPr>
          </w:p>
          <w:p w14:paraId="4ADCE5DB" w14:textId="77777777" w:rsidR="00886967" w:rsidRPr="00682803" w:rsidRDefault="00886967" w:rsidP="0010241A">
            <w:pPr>
              <w:suppressAutoHyphens w:val="0"/>
              <w:autoSpaceDN/>
              <w:spacing w:before="120"/>
              <w:rPr>
                <w:b/>
                <w:color w:val="auto"/>
                <w:lang w:eastAsia="en-US"/>
              </w:rPr>
            </w:pPr>
            <w:r w:rsidRPr="00682803">
              <w:rPr>
                <w:b/>
                <w:color w:val="auto"/>
                <w:lang w:eastAsia="en-US"/>
              </w:rPr>
              <w:t xml:space="preserve">TABLE A – Analysis.  </w:t>
            </w:r>
          </w:p>
          <w:p w14:paraId="7246EFBB" w14:textId="77777777" w:rsidR="00595769" w:rsidRDefault="00886967" w:rsidP="0010241A">
            <w:pPr>
              <w:pStyle w:val="ListParagraph"/>
              <w:numPr>
                <w:ilvl w:val="0"/>
                <w:numId w:val="2"/>
              </w:numPr>
              <w:suppressAutoHyphens w:val="0"/>
              <w:autoSpaceDN/>
              <w:spacing w:before="120"/>
              <w:rPr>
                <w:color w:val="auto"/>
                <w:lang w:eastAsia="en-US"/>
              </w:rPr>
            </w:pPr>
            <w:r>
              <w:rPr>
                <w:color w:val="auto"/>
                <w:lang w:eastAsia="en-US"/>
              </w:rPr>
              <w:t xml:space="preserve">Our internal Teacher Assessment Grades (TAGS) </w:t>
            </w:r>
            <w:r w:rsidRPr="00A50F03">
              <w:rPr>
                <w:color w:val="auto"/>
                <w:lang w:eastAsia="en-US"/>
              </w:rPr>
              <w:t xml:space="preserve">during 2020/21 </w:t>
            </w:r>
            <w:r>
              <w:rPr>
                <w:color w:val="auto"/>
                <w:lang w:eastAsia="en-US"/>
              </w:rPr>
              <w:t xml:space="preserve">(Year 11 cohort 2021) </w:t>
            </w:r>
            <w:r w:rsidRPr="00A50F03">
              <w:rPr>
                <w:color w:val="auto"/>
                <w:lang w:eastAsia="en-US"/>
              </w:rPr>
              <w:t>suggested that the per</w:t>
            </w:r>
            <w:r>
              <w:rPr>
                <w:color w:val="auto"/>
                <w:lang w:eastAsia="en-US"/>
              </w:rPr>
              <w:t>formance of Disadvantaged Students</w:t>
            </w:r>
            <w:r w:rsidRPr="00A50F03">
              <w:rPr>
                <w:color w:val="auto"/>
                <w:lang w:eastAsia="en-US"/>
              </w:rPr>
              <w:t xml:space="preserve"> </w:t>
            </w:r>
            <w:r>
              <w:rPr>
                <w:color w:val="auto"/>
                <w:lang w:eastAsia="en-US"/>
              </w:rPr>
              <w:t xml:space="preserve">was in line with the performance of Non-Disadvantaged Students in terms of progress. </w:t>
            </w:r>
            <w:r w:rsidR="00605666">
              <w:rPr>
                <w:color w:val="auto"/>
                <w:lang w:eastAsia="en-US"/>
              </w:rPr>
              <w:t xml:space="preserve">50% of the 2020-21 cohort were Disadvantaged. </w:t>
            </w:r>
          </w:p>
          <w:p w14:paraId="761C46D3" w14:textId="77777777" w:rsidR="00595769" w:rsidRDefault="00595769" w:rsidP="00595769">
            <w:pPr>
              <w:pStyle w:val="ListParagraph"/>
              <w:numPr>
                <w:ilvl w:val="0"/>
                <w:numId w:val="0"/>
              </w:numPr>
              <w:suppressAutoHyphens w:val="0"/>
              <w:autoSpaceDN/>
              <w:spacing w:before="120"/>
              <w:ind w:left="720"/>
              <w:rPr>
                <w:color w:val="auto"/>
                <w:lang w:eastAsia="en-US"/>
              </w:rPr>
            </w:pPr>
          </w:p>
          <w:p w14:paraId="6F0E66DC" w14:textId="77777777" w:rsidR="00595769" w:rsidRDefault="00886967" w:rsidP="0010241A">
            <w:pPr>
              <w:pStyle w:val="ListParagraph"/>
              <w:numPr>
                <w:ilvl w:val="0"/>
                <w:numId w:val="2"/>
              </w:numPr>
              <w:suppressAutoHyphens w:val="0"/>
              <w:autoSpaceDN/>
              <w:spacing w:before="120"/>
              <w:rPr>
                <w:color w:val="auto"/>
                <w:lang w:eastAsia="en-US"/>
              </w:rPr>
            </w:pPr>
            <w:r w:rsidRPr="00605666">
              <w:rPr>
                <w:color w:val="auto"/>
                <w:lang w:eastAsia="en-US"/>
              </w:rPr>
              <w:t xml:space="preserve">TAGS were completed as part of the disruption caused by COVID 19 to formal GCSE tests. The performance overall of Disadvantaged Students was well above the national average as seen in table A. </w:t>
            </w:r>
          </w:p>
          <w:p w14:paraId="168CEC47" w14:textId="77777777" w:rsidR="00595769" w:rsidRPr="00595769" w:rsidRDefault="00595769" w:rsidP="00595769">
            <w:pPr>
              <w:pStyle w:val="ListParagraph"/>
              <w:numPr>
                <w:ilvl w:val="0"/>
                <w:numId w:val="0"/>
              </w:numPr>
              <w:ind w:left="720"/>
              <w:rPr>
                <w:color w:val="auto"/>
                <w:lang w:eastAsia="en-US"/>
              </w:rPr>
            </w:pPr>
          </w:p>
          <w:p w14:paraId="44333B11" w14:textId="15DA5648" w:rsidR="00595769" w:rsidRDefault="00236539" w:rsidP="0010241A">
            <w:pPr>
              <w:pStyle w:val="ListParagraph"/>
              <w:numPr>
                <w:ilvl w:val="0"/>
                <w:numId w:val="2"/>
              </w:numPr>
              <w:suppressAutoHyphens w:val="0"/>
              <w:autoSpaceDN/>
              <w:spacing w:before="120"/>
              <w:rPr>
                <w:color w:val="auto"/>
                <w:lang w:eastAsia="en-US"/>
              </w:rPr>
            </w:pPr>
            <w:r w:rsidRPr="00605666">
              <w:rPr>
                <w:color w:val="auto"/>
                <w:lang w:eastAsia="en-US"/>
              </w:rPr>
              <w:t>The Teaching and L</w:t>
            </w:r>
            <w:r w:rsidR="00886967" w:rsidRPr="00605666">
              <w:rPr>
                <w:color w:val="auto"/>
                <w:lang w:eastAsia="en-US"/>
              </w:rPr>
              <w:t>earning</w:t>
            </w:r>
            <w:r w:rsidR="00595769">
              <w:rPr>
                <w:color w:val="auto"/>
                <w:lang w:eastAsia="en-US"/>
              </w:rPr>
              <w:t xml:space="preserve"> (T&amp;L)</w:t>
            </w:r>
            <w:r w:rsidR="00886967" w:rsidRPr="00605666">
              <w:rPr>
                <w:color w:val="auto"/>
                <w:lang w:eastAsia="en-US"/>
              </w:rPr>
              <w:t xml:space="preserve"> </w:t>
            </w:r>
            <w:r w:rsidR="00595769">
              <w:rPr>
                <w:color w:val="auto"/>
                <w:lang w:eastAsia="en-US"/>
              </w:rPr>
              <w:t>S</w:t>
            </w:r>
            <w:r w:rsidR="00886967" w:rsidRPr="00605666">
              <w:rPr>
                <w:color w:val="auto"/>
                <w:lang w:eastAsia="en-US"/>
              </w:rPr>
              <w:t xml:space="preserve">trategy “Excellence at Rockwood” provided a basis for “Mastery” teaching which had a positive impact on the overall achievement of Disadvantaged Students. </w:t>
            </w:r>
          </w:p>
          <w:p w14:paraId="7C6DCFFE" w14:textId="77777777" w:rsidR="00595769" w:rsidRPr="00595769" w:rsidRDefault="00595769" w:rsidP="00595769">
            <w:pPr>
              <w:pStyle w:val="ListParagraph"/>
              <w:numPr>
                <w:ilvl w:val="0"/>
                <w:numId w:val="0"/>
              </w:numPr>
              <w:ind w:left="720"/>
              <w:rPr>
                <w:color w:val="auto"/>
                <w:lang w:eastAsia="en-US"/>
              </w:rPr>
            </w:pPr>
          </w:p>
          <w:p w14:paraId="176AE46B" w14:textId="28CC3399" w:rsidR="00886967" w:rsidRPr="00605666" w:rsidRDefault="00886967" w:rsidP="0010241A">
            <w:pPr>
              <w:pStyle w:val="ListParagraph"/>
              <w:numPr>
                <w:ilvl w:val="0"/>
                <w:numId w:val="2"/>
              </w:numPr>
              <w:suppressAutoHyphens w:val="0"/>
              <w:autoSpaceDN/>
              <w:spacing w:before="120"/>
              <w:rPr>
                <w:color w:val="auto"/>
                <w:lang w:eastAsia="en-US"/>
              </w:rPr>
            </w:pPr>
            <w:r w:rsidRPr="00605666">
              <w:rPr>
                <w:color w:val="auto"/>
                <w:lang w:eastAsia="en-US"/>
              </w:rPr>
              <w:t xml:space="preserve">The </w:t>
            </w:r>
            <w:r w:rsidR="00595769">
              <w:rPr>
                <w:color w:val="auto"/>
                <w:lang w:eastAsia="en-US"/>
              </w:rPr>
              <w:t>o</w:t>
            </w:r>
            <w:r w:rsidRPr="00605666">
              <w:rPr>
                <w:color w:val="auto"/>
                <w:lang w:eastAsia="en-US"/>
              </w:rPr>
              <w:t xml:space="preserve">nline T&amp;L </w:t>
            </w:r>
            <w:r w:rsidR="00595769">
              <w:rPr>
                <w:color w:val="auto"/>
                <w:lang w:eastAsia="en-US"/>
              </w:rPr>
              <w:t>S</w:t>
            </w:r>
            <w:r w:rsidRPr="00605666">
              <w:rPr>
                <w:color w:val="auto"/>
                <w:lang w:eastAsia="en-US"/>
              </w:rPr>
              <w:t>tr</w:t>
            </w:r>
            <w:r w:rsidR="00236539" w:rsidRPr="00605666">
              <w:rPr>
                <w:color w:val="auto"/>
                <w:lang w:eastAsia="en-US"/>
              </w:rPr>
              <w:t xml:space="preserve">ategy, </w:t>
            </w:r>
            <w:r w:rsidRPr="00605666">
              <w:rPr>
                <w:color w:val="auto"/>
                <w:lang w:eastAsia="en-US"/>
              </w:rPr>
              <w:t>2020-21 (</w:t>
            </w:r>
            <w:r w:rsidR="00595769">
              <w:rPr>
                <w:color w:val="auto"/>
                <w:lang w:eastAsia="en-US"/>
              </w:rPr>
              <w:t>managed</w:t>
            </w:r>
            <w:r w:rsidR="00236539" w:rsidRPr="00605666">
              <w:rPr>
                <w:color w:val="auto"/>
                <w:lang w:eastAsia="en-US"/>
              </w:rPr>
              <w:t xml:space="preserve"> by </w:t>
            </w:r>
            <w:r w:rsidR="00595769">
              <w:rPr>
                <w:color w:val="auto"/>
                <w:lang w:eastAsia="en-US"/>
              </w:rPr>
              <w:t>L</w:t>
            </w:r>
            <w:r w:rsidR="00236539" w:rsidRPr="00605666">
              <w:rPr>
                <w:color w:val="auto"/>
                <w:lang w:eastAsia="en-US"/>
              </w:rPr>
              <w:t xml:space="preserve">ead </w:t>
            </w:r>
            <w:r w:rsidR="00595769">
              <w:rPr>
                <w:color w:val="auto"/>
                <w:lang w:eastAsia="en-US"/>
              </w:rPr>
              <w:t>P</w:t>
            </w:r>
            <w:r w:rsidR="00236539" w:rsidRPr="00605666">
              <w:rPr>
                <w:color w:val="auto"/>
                <w:lang w:eastAsia="en-US"/>
              </w:rPr>
              <w:t xml:space="preserve">ractitioners) </w:t>
            </w:r>
            <w:r w:rsidRPr="00605666">
              <w:rPr>
                <w:color w:val="auto"/>
                <w:lang w:eastAsia="en-US"/>
              </w:rPr>
              <w:t>also enabled students to develop a deeper understanding</w:t>
            </w:r>
            <w:r w:rsidR="00595769">
              <w:rPr>
                <w:color w:val="auto"/>
                <w:lang w:eastAsia="en-US"/>
              </w:rPr>
              <w:t xml:space="preserve"> of subjects and better honed skills</w:t>
            </w:r>
            <w:r w:rsidRPr="00605666">
              <w:rPr>
                <w:color w:val="auto"/>
                <w:lang w:eastAsia="en-US"/>
              </w:rPr>
              <w:t xml:space="preserve">. In </w:t>
            </w:r>
            <w:r w:rsidRPr="00605666">
              <w:rPr>
                <w:color w:val="auto"/>
                <w:lang w:eastAsia="en-US"/>
              </w:rPr>
              <w:lastRenderedPageBreak/>
              <w:t>2020-2</w:t>
            </w:r>
            <w:r w:rsidR="00595769">
              <w:rPr>
                <w:color w:val="auto"/>
                <w:lang w:eastAsia="en-US"/>
              </w:rPr>
              <w:t>1,</w:t>
            </w:r>
            <w:r w:rsidRPr="00605666">
              <w:rPr>
                <w:color w:val="auto"/>
                <w:lang w:eastAsia="en-US"/>
              </w:rPr>
              <w:t xml:space="preserve"> the strategy expenditure enabled additional core subject specialist teachers to be incorporated into the budget</w:t>
            </w:r>
            <w:r w:rsidR="00595769">
              <w:rPr>
                <w:color w:val="auto"/>
                <w:lang w:eastAsia="en-US"/>
              </w:rPr>
              <w:t xml:space="preserve"> / staffing structure</w:t>
            </w:r>
            <w:r w:rsidRPr="00605666">
              <w:rPr>
                <w:color w:val="auto"/>
                <w:lang w:eastAsia="en-US"/>
              </w:rPr>
              <w:t>. This has contribut</w:t>
            </w:r>
            <w:r w:rsidR="00236539" w:rsidRPr="00605666">
              <w:rPr>
                <w:color w:val="auto"/>
                <w:lang w:eastAsia="en-US"/>
              </w:rPr>
              <w:t xml:space="preserve">ed significantly to the progress of </w:t>
            </w:r>
            <w:r w:rsidR="00595769">
              <w:rPr>
                <w:color w:val="auto"/>
                <w:lang w:eastAsia="en-US"/>
              </w:rPr>
              <w:t>Disadvantaged S</w:t>
            </w:r>
            <w:r w:rsidR="00236539" w:rsidRPr="00605666">
              <w:rPr>
                <w:color w:val="auto"/>
                <w:lang w:eastAsia="en-US"/>
              </w:rPr>
              <w:t>tudents.</w:t>
            </w:r>
          </w:p>
          <w:p w14:paraId="7AC998E3" w14:textId="77777777" w:rsidR="00236539" w:rsidRDefault="00236539" w:rsidP="0010241A">
            <w:pPr>
              <w:suppressAutoHyphens w:val="0"/>
              <w:autoSpaceDN/>
              <w:spacing w:before="120"/>
              <w:rPr>
                <w:color w:val="auto"/>
                <w:lang w:eastAsia="en-US"/>
              </w:rPr>
            </w:pPr>
          </w:p>
          <w:p w14:paraId="22FB2943" w14:textId="77777777" w:rsidR="00886967" w:rsidRPr="00337074" w:rsidRDefault="00886967" w:rsidP="0010241A">
            <w:pPr>
              <w:suppressAutoHyphens w:val="0"/>
              <w:autoSpaceDN/>
              <w:spacing w:before="120"/>
              <w:rPr>
                <w:b/>
                <w:color w:val="auto"/>
                <w:lang w:eastAsia="en-US"/>
              </w:rPr>
            </w:pPr>
            <w:r w:rsidRPr="00337074">
              <w:rPr>
                <w:b/>
                <w:color w:val="auto"/>
                <w:lang w:eastAsia="en-US"/>
              </w:rPr>
              <w:t xml:space="preserve">Table B </w:t>
            </w:r>
          </w:p>
          <w:p w14:paraId="186ABF4B" w14:textId="77777777" w:rsidR="00886967" w:rsidRDefault="00886967" w:rsidP="0010241A">
            <w:pPr>
              <w:suppressAutoHyphens w:val="0"/>
              <w:autoSpaceDN/>
              <w:spacing w:before="120"/>
              <w:rPr>
                <w:color w:val="auto"/>
                <w:lang w:eastAsia="en-US"/>
              </w:rPr>
            </w:pPr>
            <w:r>
              <w:rPr>
                <w:noProof/>
              </w:rPr>
              <w:drawing>
                <wp:inline distT="0" distB="0" distL="0" distR="0" wp14:anchorId="0DAFF6E3" wp14:editId="329F1C76">
                  <wp:extent cx="399097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90975" cy="1171575"/>
                          </a:xfrm>
                          <a:prstGeom prst="rect">
                            <a:avLst/>
                          </a:prstGeom>
                        </pic:spPr>
                      </pic:pic>
                    </a:graphicData>
                  </a:graphic>
                </wp:inline>
              </w:drawing>
            </w:r>
          </w:p>
          <w:p w14:paraId="52394C74" w14:textId="77777777" w:rsidR="00886967" w:rsidRPr="00236539" w:rsidRDefault="00886967" w:rsidP="0010241A">
            <w:pPr>
              <w:pStyle w:val="ListParagraph"/>
              <w:numPr>
                <w:ilvl w:val="0"/>
                <w:numId w:val="2"/>
              </w:numPr>
              <w:suppressAutoHyphens w:val="0"/>
              <w:autoSpaceDN/>
              <w:spacing w:before="120"/>
              <w:rPr>
                <w:color w:val="auto"/>
                <w:lang w:eastAsia="en-US"/>
              </w:rPr>
            </w:pPr>
            <w:r w:rsidRPr="00360319">
              <w:rPr>
                <w:color w:val="auto"/>
                <w:lang w:eastAsia="en-US"/>
              </w:rPr>
              <w:t>4 subjects in 2</w:t>
            </w:r>
            <w:r>
              <w:rPr>
                <w:color w:val="auto"/>
                <w:lang w:eastAsia="en-US"/>
              </w:rPr>
              <w:t xml:space="preserve">021 were below national average in relation to progress. </w:t>
            </w:r>
          </w:p>
          <w:p w14:paraId="7B36DE6C" w14:textId="77777777" w:rsidR="00886967" w:rsidRPr="00267FCB" w:rsidRDefault="00886967" w:rsidP="0010241A">
            <w:pPr>
              <w:suppressAutoHyphens w:val="0"/>
              <w:autoSpaceDN/>
              <w:spacing w:before="120"/>
              <w:rPr>
                <w:b/>
                <w:color w:val="auto"/>
                <w:lang w:eastAsia="en-US"/>
              </w:rPr>
            </w:pPr>
            <w:r w:rsidRPr="00267FCB">
              <w:rPr>
                <w:b/>
                <w:color w:val="auto"/>
                <w:lang w:eastAsia="en-US"/>
              </w:rPr>
              <w:t>TABLE C</w:t>
            </w:r>
          </w:p>
          <w:p w14:paraId="02FFBEBD" w14:textId="77777777" w:rsidR="00886967" w:rsidRDefault="00886967" w:rsidP="0010241A">
            <w:pPr>
              <w:suppressAutoHyphens w:val="0"/>
              <w:autoSpaceDN/>
              <w:spacing w:before="120"/>
              <w:rPr>
                <w:color w:val="auto"/>
                <w:lang w:eastAsia="en-US"/>
              </w:rPr>
            </w:pPr>
            <w:r>
              <w:rPr>
                <w:noProof/>
              </w:rPr>
              <w:drawing>
                <wp:inline distT="0" distB="0" distL="0" distR="0" wp14:anchorId="1D13A4F9" wp14:editId="15ACB096">
                  <wp:extent cx="44005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0550" cy="723900"/>
                          </a:xfrm>
                          <a:prstGeom prst="rect">
                            <a:avLst/>
                          </a:prstGeom>
                        </pic:spPr>
                      </pic:pic>
                    </a:graphicData>
                  </a:graphic>
                </wp:inline>
              </w:drawing>
            </w:r>
          </w:p>
          <w:p w14:paraId="2845028C" w14:textId="3CE43DF0" w:rsidR="00886967" w:rsidRDefault="00886967" w:rsidP="0010241A">
            <w:pPr>
              <w:suppressAutoHyphens w:val="0"/>
              <w:autoSpaceDN/>
              <w:spacing w:before="120"/>
              <w:rPr>
                <w:color w:val="auto"/>
                <w:lang w:eastAsia="en-US"/>
              </w:rPr>
            </w:pPr>
            <w:r w:rsidRPr="00267FCB">
              <w:rPr>
                <w:b/>
                <w:color w:val="auto"/>
                <w:lang w:eastAsia="en-US"/>
              </w:rPr>
              <w:t>Table C</w:t>
            </w:r>
            <w:r>
              <w:rPr>
                <w:color w:val="auto"/>
                <w:lang w:eastAsia="en-US"/>
              </w:rPr>
              <w:t xml:space="preserve"> indicates that in 2020- 2021 there were no significant GAPS in performance of Disadvantaged</w:t>
            </w:r>
            <w:r w:rsidR="00236539">
              <w:rPr>
                <w:color w:val="auto"/>
                <w:lang w:eastAsia="en-US"/>
              </w:rPr>
              <w:t xml:space="preserve"> S</w:t>
            </w:r>
            <w:r>
              <w:rPr>
                <w:color w:val="auto"/>
                <w:lang w:eastAsia="en-US"/>
              </w:rPr>
              <w:t xml:space="preserve">tudents compared to </w:t>
            </w:r>
            <w:r w:rsidR="00236539">
              <w:rPr>
                <w:color w:val="auto"/>
                <w:lang w:eastAsia="en-US"/>
              </w:rPr>
              <w:t>Non-D</w:t>
            </w:r>
            <w:r>
              <w:rPr>
                <w:color w:val="auto"/>
                <w:lang w:eastAsia="en-US"/>
              </w:rPr>
              <w:t>isadvantaged students in relation to progress. Further details below.</w:t>
            </w:r>
          </w:p>
          <w:p w14:paraId="7A7F7CF1" w14:textId="77777777" w:rsidR="00886967" w:rsidRPr="00267FCB" w:rsidRDefault="00886967" w:rsidP="0010241A">
            <w:pPr>
              <w:suppressAutoHyphens w:val="0"/>
              <w:autoSpaceDN/>
              <w:spacing w:before="120"/>
              <w:rPr>
                <w:b/>
                <w:color w:val="auto"/>
                <w:lang w:eastAsia="en-US"/>
              </w:rPr>
            </w:pPr>
            <w:r w:rsidRPr="00267FCB">
              <w:rPr>
                <w:b/>
                <w:color w:val="auto"/>
                <w:lang w:eastAsia="en-US"/>
              </w:rPr>
              <w:t xml:space="preserve">Table D  </w:t>
            </w:r>
          </w:p>
          <w:p w14:paraId="07E9105B" w14:textId="77777777" w:rsidR="00886967" w:rsidRDefault="00886967" w:rsidP="0010241A">
            <w:pPr>
              <w:suppressAutoHyphens w:val="0"/>
              <w:autoSpaceDN/>
              <w:spacing w:before="120"/>
              <w:rPr>
                <w:color w:val="auto"/>
                <w:lang w:eastAsia="en-US"/>
              </w:rPr>
            </w:pPr>
            <w:r>
              <w:rPr>
                <w:noProof/>
              </w:rPr>
              <w:drawing>
                <wp:inline distT="0" distB="0" distL="0" distR="0" wp14:anchorId="1CFF32F3" wp14:editId="0552608F">
                  <wp:extent cx="6029960" cy="54610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546100"/>
                          </a:xfrm>
                          <a:prstGeom prst="rect">
                            <a:avLst/>
                          </a:prstGeom>
                        </pic:spPr>
                      </pic:pic>
                    </a:graphicData>
                  </a:graphic>
                </wp:inline>
              </w:drawing>
            </w:r>
          </w:p>
          <w:p w14:paraId="13252EA1" w14:textId="77777777" w:rsidR="00886967" w:rsidRDefault="00886967" w:rsidP="0010241A">
            <w:pPr>
              <w:suppressAutoHyphens w:val="0"/>
              <w:autoSpaceDN/>
              <w:spacing w:before="120"/>
              <w:rPr>
                <w:color w:val="auto"/>
                <w:lang w:eastAsia="en-US"/>
              </w:rPr>
            </w:pPr>
            <w:r w:rsidRPr="00267FCB">
              <w:rPr>
                <w:b/>
                <w:color w:val="auto"/>
                <w:u w:val="single"/>
                <w:lang w:eastAsia="en-US"/>
              </w:rPr>
              <w:t>Table D</w:t>
            </w:r>
            <w:r>
              <w:rPr>
                <w:color w:val="auto"/>
                <w:lang w:eastAsia="en-US"/>
              </w:rPr>
              <w:t xml:space="preserve"> indicates that th</w:t>
            </w:r>
            <w:r w:rsidR="00236539">
              <w:rPr>
                <w:color w:val="auto"/>
                <w:lang w:eastAsia="en-US"/>
              </w:rPr>
              <w:t>e performance of Disadvantaged S</w:t>
            </w:r>
            <w:r>
              <w:rPr>
                <w:color w:val="auto"/>
                <w:lang w:eastAsia="en-US"/>
              </w:rPr>
              <w:t xml:space="preserve">tudents was well above the national average when analysing the basics measure (English and Maths) at both 9-5 and 9-4 grades.  </w:t>
            </w:r>
          </w:p>
          <w:p w14:paraId="147A997A" w14:textId="77777777" w:rsidR="00886967" w:rsidRPr="00267FCB" w:rsidRDefault="00886967" w:rsidP="0010241A">
            <w:pPr>
              <w:suppressAutoHyphens w:val="0"/>
              <w:autoSpaceDN/>
              <w:spacing w:before="120"/>
              <w:rPr>
                <w:b/>
                <w:color w:val="auto"/>
                <w:u w:val="single"/>
                <w:lang w:eastAsia="en-US"/>
              </w:rPr>
            </w:pPr>
            <w:r w:rsidRPr="00267FCB">
              <w:rPr>
                <w:b/>
                <w:color w:val="auto"/>
                <w:u w:val="single"/>
                <w:lang w:eastAsia="en-US"/>
              </w:rPr>
              <w:t xml:space="preserve">Table E </w:t>
            </w:r>
          </w:p>
          <w:p w14:paraId="3E5E9FA2" w14:textId="77777777" w:rsidR="00886967" w:rsidRDefault="00886967" w:rsidP="0010241A">
            <w:pPr>
              <w:suppressAutoHyphens w:val="0"/>
              <w:autoSpaceDN/>
              <w:spacing w:before="120"/>
              <w:rPr>
                <w:color w:val="auto"/>
                <w:lang w:eastAsia="en-US"/>
              </w:rPr>
            </w:pPr>
            <w:r>
              <w:rPr>
                <w:noProof/>
              </w:rPr>
              <w:drawing>
                <wp:inline distT="0" distB="0" distL="0" distR="0" wp14:anchorId="444EFDFA" wp14:editId="25724A38">
                  <wp:extent cx="3619500" cy="885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9500" cy="885825"/>
                          </a:xfrm>
                          <a:prstGeom prst="rect">
                            <a:avLst/>
                          </a:prstGeom>
                        </pic:spPr>
                      </pic:pic>
                    </a:graphicData>
                  </a:graphic>
                </wp:inline>
              </w:drawing>
            </w:r>
          </w:p>
          <w:p w14:paraId="62E906D1" w14:textId="77777777" w:rsidR="00595769" w:rsidRDefault="00886967" w:rsidP="0010241A">
            <w:pPr>
              <w:suppressAutoHyphens w:val="0"/>
              <w:autoSpaceDN/>
              <w:spacing w:before="120"/>
              <w:rPr>
                <w:color w:val="auto"/>
                <w:lang w:eastAsia="en-US"/>
              </w:rPr>
            </w:pPr>
            <w:r>
              <w:rPr>
                <w:color w:val="auto"/>
                <w:lang w:eastAsia="en-US"/>
              </w:rPr>
              <w:lastRenderedPageBreak/>
              <w:t>Table E indicates that th</w:t>
            </w:r>
            <w:r w:rsidR="00236539">
              <w:rPr>
                <w:color w:val="auto"/>
                <w:lang w:eastAsia="en-US"/>
              </w:rPr>
              <w:t>e performance of Disadvantaged S</w:t>
            </w:r>
            <w:r>
              <w:rPr>
                <w:color w:val="auto"/>
                <w:lang w:eastAsia="en-US"/>
              </w:rPr>
              <w:t xml:space="preserve">tudents </w:t>
            </w:r>
            <w:r w:rsidR="00595769">
              <w:rPr>
                <w:color w:val="auto"/>
                <w:lang w:eastAsia="en-US"/>
              </w:rPr>
              <w:t>was</w:t>
            </w:r>
            <w:r>
              <w:rPr>
                <w:color w:val="auto"/>
                <w:lang w:eastAsia="en-US"/>
              </w:rPr>
              <w:t xml:space="preserve"> well above national average for P</w:t>
            </w:r>
            <w:r w:rsidR="00236539">
              <w:rPr>
                <w:color w:val="auto"/>
                <w:lang w:eastAsia="en-US"/>
              </w:rPr>
              <w:t xml:space="preserve">rogress </w:t>
            </w:r>
            <w:r>
              <w:rPr>
                <w:color w:val="auto"/>
                <w:lang w:eastAsia="en-US"/>
              </w:rPr>
              <w:t xml:space="preserve">8 </w:t>
            </w:r>
            <w:r w:rsidR="00236539">
              <w:rPr>
                <w:color w:val="auto"/>
                <w:lang w:eastAsia="en-US"/>
              </w:rPr>
              <w:t xml:space="preserve">(P8) </w:t>
            </w:r>
            <w:r>
              <w:rPr>
                <w:color w:val="auto"/>
                <w:lang w:eastAsia="en-US"/>
              </w:rPr>
              <w:t xml:space="preserve">analysis. </w:t>
            </w:r>
          </w:p>
          <w:p w14:paraId="3A148B29" w14:textId="77777777" w:rsidR="00595769" w:rsidRDefault="00886967" w:rsidP="0010241A">
            <w:pPr>
              <w:suppressAutoHyphens w:val="0"/>
              <w:autoSpaceDN/>
              <w:spacing w:before="120"/>
              <w:rPr>
                <w:color w:val="auto"/>
                <w:lang w:eastAsia="en-US"/>
              </w:rPr>
            </w:pPr>
            <w:r>
              <w:rPr>
                <w:color w:val="auto"/>
                <w:lang w:eastAsia="en-US"/>
              </w:rPr>
              <w:t>Maths P8</w:t>
            </w:r>
            <w:r w:rsidR="00236539">
              <w:rPr>
                <w:color w:val="auto"/>
                <w:lang w:eastAsia="en-US"/>
              </w:rPr>
              <w:t xml:space="preserve"> calculations demonstrate that Disadvantaged S</w:t>
            </w:r>
            <w:r>
              <w:rPr>
                <w:color w:val="auto"/>
                <w:lang w:eastAsia="en-US"/>
              </w:rPr>
              <w:t>tude</w:t>
            </w:r>
            <w:r w:rsidR="00236539">
              <w:rPr>
                <w:color w:val="auto"/>
                <w:lang w:eastAsia="en-US"/>
              </w:rPr>
              <w:t xml:space="preserve">nt performance was better than Non-Disadvantaged Students. </w:t>
            </w:r>
          </w:p>
          <w:p w14:paraId="3DC5587C" w14:textId="77777777" w:rsidR="00595769" w:rsidRDefault="00236539" w:rsidP="0010241A">
            <w:pPr>
              <w:suppressAutoHyphens w:val="0"/>
              <w:autoSpaceDN/>
              <w:spacing w:before="120"/>
              <w:rPr>
                <w:color w:val="auto"/>
                <w:shd w:val="clear" w:color="auto" w:fill="FFFFFF" w:themeFill="background1"/>
                <w:lang w:eastAsia="en-US"/>
              </w:rPr>
            </w:pPr>
            <w:r>
              <w:rPr>
                <w:b/>
                <w:color w:val="auto"/>
                <w:lang w:eastAsia="en-US"/>
              </w:rPr>
              <w:t>A</w:t>
            </w:r>
            <w:r w:rsidR="00886967" w:rsidRPr="0006331E">
              <w:rPr>
                <w:b/>
                <w:color w:val="auto"/>
                <w:lang w:eastAsia="en-US"/>
              </w:rPr>
              <w:t>t Rockwood Academy</w:t>
            </w:r>
            <w:r>
              <w:rPr>
                <w:b/>
                <w:color w:val="auto"/>
                <w:lang w:eastAsia="en-US"/>
              </w:rPr>
              <w:t>,</w:t>
            </w:r>
            <w:r w:rsidR="00886967">
              <w:rPr>
                <w:color w:val="auto"/>
                <w:lang w:eastAsia="en-US"/>
              </w:rPr>
              <w:t xml:space="preserve"> there was a </w:t>
            </w:r>
            <w:r w:rsidR="007A68C3">
              <w:rPr>
                <w:color w:val="auto"/>
                <w:lang w:eastAsia="en-US"/>
              </w:rPr>
              <w:t>0.07 GAP in performance between Disadvantaged and Non-Disadvantaged S</w:t>
            </w:r>
            <w:r w:rsidR="00886967">
              <w:rPr>
                <w:color w:val="auto"/>
                <w:lang w:eastAsia="en-US"/>
              </w:rPr>
              <w:t>tudents</w:t>
            </w:r>
            <w:r w:rsidR="00E81603">
              <w:rPr>
                <w:color w:val="auto"/>
                <w:lang w:eastAsia="en-US"/>
              </w:rPr>
              <w:t xml:space="preserve"> which indicates a small </w:t>
            </w:r>
            <w:r w:rsidR="007A68C3">
              <w:rPr>
                <w:color w:val="auto"/>
                <w:lang w:eastAsia="en-US"/>
              </w:rPr>
              <w:t>progress variation</w:t>
            </w:r>
            <w:r w:rsidR="00886967" w:rsidRPr="005D7421">
              <w:rPr>
                <w:color w:val="auto"/>
                <w:shd w:val="clear" w:color="auto" w:fill="FFFFFF" w:themeFill="background1"/>
                <w:lang w:eastAsia="en-US"/>
              </w:rPr>
              <w:t xml:space="preserve">.  </w:t>
            </w:r>
          </w:p>
          <w:p w14:paraId="7998A6FB" w14:textId="77777777" w:rsidR="00595769" w:rsidRDefault="00886967" w:rsidP="0010241A">
            <w:pPr>
              <w:suppressAutoHyphens w:val="0"/>
              <w:autoSpaceDN/>
              <w:spacing w:before="120"/>
              <w:rPr>
                <w:color w:val="auto"/>
                <w:lang w:eastAsia="en-US"/>
              </w:rPr>
            </w:pPr>
            <w:r w:rsidRPr="005D7421">
              <w:rPr>
                <w:color w:val="auto"/>
                <w:shd w:val="clear" w:color="auto" w:fill="FFFFFF" w:themeFill="background1"/>
                <w:lang w:eastAsia="en-US"/>
              </w:rPr>
              <w:t xml:space="preserve">In </w:t>
            </w:r>
            <w:r w:rsidRPr="005D7421">
              <w:rPr>
                <w:b/>
                <w:color w:val="auto"/>
                <w:shd w:val="clear" w:color="auto" w:fill="FFFFFF" w:themeFill="background1"/>
                <w:lang w:eastAsia="en-US"/>
              </w:rPr>
              <w:t>English</w:t>
            </w:r>
            <w:r>
              <w:rPr>
                <w:color w:val="auto"/>
                <w:lang w:eastAsia="en-US"/>
              </w:rPr>
              <w:t xml:space="preserve"> there was a 0.22 G</w:t>
            </w:r>
            <w:r w:rsidR="00E81603">
              <w:rPr>
                <w:color w:val="auto"/>
                <w:lang w:eastAsia="en-US"/>
              </w:rPr>
              <w:t>ap in performance in favour of Non – D</w:t>
            </w:r>
            <w:r>
              <w:rPr>
                <w:color w:val="auto"/>
                <w:lang w:eastAsia="en-US"/>
              </w:rPr>
              <w:t xml:space="preserve">isadvantaged students.  </w:t>
            </w:r>
          </w:p>
          <w:p w14:paraId="4F1EDA2D" w14:textId="54015E82" w:rsidR="00886967" w:rsidRPr="0061639B" w:rsidRDefault="00886967" w:rsidP="0010241A">
            <w:pPr>
              <w:suppressAutoHyphens w:val="0"/>
              <w:autoSpaceDN/>
              <w:spacing w:before="120"/>
              <w:rPr>
                <w:color w:val="auto"/>
                <w:lang w:eastAsia="en-US"/>
              </w:rPr>
            </w:pPr>
            <w:r>
              <w:rPr>
                <w:color w:val="auto"/>
                <w:lang w:eastAsia="en-US"/>
              </w:rPr>
              <w:t xml:space="preserve">In </w:t>
            </w:r>
            <w:proofErr w:type="spellStart"/>
            <w:r w:rsidRPr="0006331E">
              <w:rPr>
                <w:b/>
                <w:color w:val="auto"/>
                <w:lang w:eastAsia="en-US"/>
              </w:rPr>
              <w:t>Ebacc</w:t>
            </w:r>
            <w:proofErr w:type="spellEnd"/>
            <w:r w:rsidRPr="0006331E">
              <w:rPr>
                <w:b/>
                <w:color w:val="auto"/>
                <w:lang w:eastAsia="en-US"/>
              </w:rPr>
              <w:t xml:space="preserve"> </w:t>
            </w:r>
            <w:r>
              <w:rPr>
                <w:color w:val="auto"/>
                <w:lang w:eastAsia="en-US"/>
              </w:rPr>
              <w:t>subjects,</w:t>
            </w:r>
            <w:r w:rsidR="00E81603">
              <w:rPr>
                <w:color w:val="auto"/>
                <w:lang w:eastAsia="en-US"/>
              </w:rPr>
              <w:t xml:space="preserve"> the GAP was</w:t>
            </w:r>
            <w:r>
              <w:rPr>
                <w:color w:val="auto"/>
                <w:lang w:eastAsia="en-US"/>
              </w:rPr>
              <w:t xml:space="preserve"> 0.12 and </w:t>
            </w:r>
            <w:r w:rsidR="00E81603">
              <w:rPr>
                <w:color w:val="auto"/>
                <w:lang w:eastAsia="en-US"/>
              </w:rPr>
              <w:t xml:space="preserve">in </w:t>
            </w:r>
            <w:r w:rsidRPr="0006331E">
              <w:rPr>
                <w:b/>
                <w:color w:val="auto"/>
                <w:lang w:eastAsia="en-US"/>
              </w:rPr>
              <w:t xml:space="preserve">Open </w:t>
            </w:r>
            <w:r w:rsidR="00E81603">
              <w:rPr>
                <w:b/>
                <w:color w:val="auto"/>
                <w:lang w:eastAsia="en-US"/>
              </w:rPr>
              <w:t xml:space="preserve">bucket </w:t>
            </w:r>
            <w:r w:rsidRPr="0006331E">
              <w:rPr>
                <w:b/>
                <w:color w:val="auto"/>
                <w:lang w:eastAsia="en-US"/>
              </w:rPr>
              <w:t>subjects</w:t>
            </w:r>
            <w:r w:rsidR="00E81603">
              <w:rPr>
                <w:color w:val="auto"/>
                <w:lang w:eastAsia="en-US"/>
              </w:rPr>
              <w:t xml:space="preserve"> the GAP was</w:t>
            </w:r>
            <w:r>
              <w:rPr>
                <w:color w:val="auto"/>
                <w:lang w:eastAsia="en-US"/>
              </w:rPr>
              <w:t xml:space="preserve"> 0.9</w:t>
            </w:r>
            <w:r w:rsidR="00E81603">
              <w:rPr>
                <w:color w:val="auto"/>
                <w:lang w:eastAsia="en-US"/>
              </w:rPr>
              <w:t xml:space="preserve"> in favour of Non-Disadvantaged S</w:t>
            </w:r>
            <w:r>
              <w:rPr>
                <w:color w:val="auto"/>
                <w:lang w:eastAsia="en-US"/>
              </w:rPr>
              <w:t>tudents.  This indicates</w:t>
            </w:r>
            <w:r w:rsidR="008D446D">
              <w:rPr>
                <w:color w:val="auto"/>
                <w:lang w:eastAsia="en-US"/>
              </w:rPr>
              <w:t>,</w:t>
            </w:r>
            <w:r>
              <w:rPr>
                <w:color w:val="auto"/>
                <w:lang w:eastAsia="en-US"/>
              </w:rPr>
              <w:t xml:space="preserve"> that there is still work to be done is some aspects of the curriculum to bri</w:t>
            </w:r>
            <w:r w:rsidR="00E81603">
              <w:rPr>
                <w:color w:val="auto"/>
                <w:lang w:eastAsia="en-US"/>
              </w:rPr>
              <w:t>dge any GAPS in performance of D</w:t>
            </w:r>
            <w:r w:rsidR="008D446D">
              <w:rPr>
                <w:color w:val="auto"/>
                <w:lang w:eastAsia="en-US"/>
              </w:rPr>
              <w:t>isadvantaged S</w:t>
            </w:r>
            <w:r>
              <w:rPr>
                <w:color w:val="auto"/>
                <w:lang w:eastAsia="en-US"/>
              </w:rPr>
              <w:t xml:space="preserve">tudents even within the context of high achievement overall. </w:t>
            </w:r>
            <w:r w:rsidR="00595769">
              <w:rPr>
                <w:color w:val="auto"/>
                <w:lang w:eastAsia="en-US"/>
              </w:rPr>
              <w:t>This is something that we will build into our strategy for 2021/22</w:t>
            </w:r>
          </w:p>
          <w:p w14:paraId="6DA4BF65" w14:textId="77777777" w:rsidR="00886967" w:rsidRDefault="00886967" w:rsidP="0010241A">
            <w:pPr>
              <w:suppressAutoHyphens w:val="0"/>
              <w:autoSpaceDN/>
              <w:spacing w:before="120"/>
              <w:rPr>
                <w:b/>
                <w:color w:val="auto"/>
                <w:sz w:val="22"/>
                <w:lang w:eastAsia="en-US"/>
              </w:rPr>
            </w:pPr>
            <w:r w:rsidRPr="00E81603">
              <w:rPr>
                <w:b/>
                <w:color w:val="auto"/>
                <w:sz w:val="22"/>
                <w:u w:val="single"/>
                <w:lang w:eastAsia="en-US"/>
              </w:rPr>
              <w:t>Subject Analysis:</w:t>
            </w:r>
            <w:r w:rsidRPr="0025081F">
              <w:rPr>
                <w:b/>
                <w:color w:val="auto"/>
                <w:sz w:val="22"/>
                <w:lang w:eastAsia="en-US"/>
              </w:rPr>
              <w:t xml:space="preserve">  </w:t>
            </w:r>
            <w:r>
              <w:rPr>
                <w:b/>
                <w:color w:val="auto"/>
                <w:sz w:val="22"/>
                <w:lang w:eastAsia="en-US"/>
              </w:rPr>
              <w:t xml:space="preserve">Attainment </w:t>
            </w:r>
            <w:r w:rsidR="008D446D">
              <w:rPr>
                <w:b/>
                <w:color w:val="auto"/>
                <w:sz w:val="22"/>
                <w:lang w:eastAsia="en-US"/>
              </w:rPr>
              <w:t>2020-21</w:t>
            </w:r>
            <w:r w:rsidRPr="0025081F">
              <w:rPr>
                <w:b/>
                <w:color w:val="auto"/>
                <w:sz w:val="22"/>
                <w:lang w:eastAsia="en-US"/>
              </w:rPr>
              <w:t xml:space="preserve">.   Disadvantaged V Non – Disadvantaged Attainment. </w:t>
            </w:r>
          </w:p>
          <w:p w14:paraId="644F77BB" w14:textId="77777777" w:rsidR="00886967" w:rsidRPr="0025081F" w:rsidRDefault="00886967" w:rsidP="0010241A">
            <w:pPr>
              <w:suppressAutoHyphens w:val="0"/>
              <w:autoSpaceDN/>
              <w:spacing w:before="120"/>
              <w:rPr>
                <w:b/>
                <w:color w:val="auto"/>
                <w:sz w:val="22"/>
                <w:lang w:eastAsia="en-US"/>
              </w:rPr>
            </w:pPr>
            <w:r>
              <w:rPr>
                <w:b/>
                <w:color w:val="auto"/>
                <w:sz w:val="22"/>
                <w:lang w:eastAsia="en-US"/>
              </w:rPr>
              <w:t xml:space="preserve">Table F: </w:t>
            </w:r>
          </w:p>
          <w:tbl>
            <w:tblPr>
              <w:tblStyle w:val="TableGrid"/>
              <w:tblW w:w="9500" w:type="dxa"/>
              <w:tblLook w:val="04A0" w:firstRow="1" w:lastRow="0" w:firstColumn="1" w:lastColumn="0" w:noHBand="0" w:noVBand="1"/>
            </w:tblPr>
            <w:tblGrid>
              <w:gridCol w:w="1718"/>
              <w:gridCol w:w="2693"/>
              <w:gridCol w:w="2918"/>
              <w:gridCol w:w="2171"/>
            </w:tblGrid>
            <w:tr w:rsidR="00886967" w14:paraId="7E2DE37F" w14:textId="77777777" w:rsidTr="0010241A">
              <w:trPr>
                <w:trHeight w:val="1368"/>
              </w:trPr>
              <w:tc>
                <w:tcPr>
                  <w:tcW w:w="1718" w:type="dxa"/>
                  <w:shd w:val="clear" w:color="auto" w:fill="7F7F7F" w:themeFill="text1" w:themeFillTint="80"/>
                </w:tcPr>
                <w:p w14:paraId="57B12C74" w14:textId="77777777" w:rsidR="00886967" w:rsidRDefault="00886967" w:rsidP="0010241A">
                  <w:pPr>
                    <w:suppressAutoHyphens w:val="0"/>
                    <w:autoSpaceDN/>
                    <w:spacing w:before="120"/>
                    <w:jc w:val="center"/>
                    <w:rPr>
                      <w:color w:val="auto"/>
                      <w:lang w:eastAsia="en-US"/>
                    </w:rPr>
                  </w:pPr>
                  <w:r>
                    <w:rPr>
                      <w:color w:val="auto"/>
                      <w:lang w:eastAsia="en-US"/>
                    </w:rPr>
                    <w:t>Subject</w:t>
                  </w:r>
                </w:p>
              </w:tc>
              <w:tc>
                <w:tcPr>
                  <w:tcW w:w="2693" w:type="dxa"/>
                  <w:shd w:val="clear" w:color="auto" w:fill="7F7F7F" w:themeFill="text1" w:themeFillTint="80"/>
                </w:tcPr>
                <w:p w14:paraId="43035115" w14:textId="77777777" w:rsidR="00886967" w:rsidRDefault="00886967" w:rsidP="0010241A">
                  <w:pPr>
                    <w:suppressAutoHyphens w:val="0"/>
                    <w:autoSpaceDN/>
                    <w:spacing w:before="120"/>
                    <w:jc w:val="center"/>
                    <w:rPr>
                      <w:color w:val="auto"/>
                      <w:lang w:eastAsia="en-US"/>
                    </w:rPr>
                  </w:pPr>
                  <w:r>
                    <w:rPr>
                      <w:color w:val="auto"/>
                      <w:lang w:eastAsia="en-US"/>
                    </w:rPr>
                    <w:t>Non Disadvantaged</w:t>
                  </w:r>
                </w:p>
                <w:p w14:paraId="714A5E87" w14:textId="77777777" w:rsidR="00886967" w:rsidRDefault="00886967" w:rsidP="0010241A">
                  <w:pPr>
                    <w:suppressAutoHyphens w:val="0"/>
                    <w:autoSpaceDN/>
                    <w:spacing w:before="120"/>
                    <w:jc w:val="center"/>
                    <w:rPr>
                      <w:color w:val="auto"/>
                      <w:lang w:eastAsia="en-US"/>
                    </w:rPr>
                  </w:pPr>
                  <w:r>
                    <w:rPr>
                      <w:color w:val="auto"/>
                      <w:lang w:eastAsia="en-US"/>
                    </w:rPr>
                    <w:t>Attainment 2021</w:t>
                  </w:r>
                </w:p>
              </w:tc>
              <w:tc>
                <w:tcPr>
                  <w:tcW w:w="2918" w:type="dxa"/>
                  <w:shd w:val="clear" w:color="auto" w:fill="7F7F7F" w:themeFill="text1" w:themeFillTint="80"/>
                </w:tcPr>
                <w:p w14:paraId="4D196152" w14:textId="77777777" w:rsidR="00886967" w:rsidRDefault="00886967" w:rsidP="0010241A">
                  <w:pPr>
                    <w:suppressAutoHyphens w:val="0"/>
                    <w:autoSpaceDN/>
                    <w:spacing w:before="120"/>
                    <w:jc w:val="center"/>
                    <w:rPr>
                      <w:color w:val="auto"/>
                      <w:lang w:eastAsia="en-US"/>
                    </w:rPr>
                  </w:pPr>
                  <w:r>
                    <w:rPr>
                      <w:color w:val="auto"/>
                      <w:lang w:eastAsia="en-US"/>
                    </w:rPr>
                    <w:t>Disadvantaged</w:t>
                  </w:r>
                </w:p>
                <w:p w14:paraId="61B75F6D" w14:textId="77777777" w:rsidR="00886967" w:rsidRDefault="00886967" w:rsidP="0010241A">
                  <w:pPr>
                    <w:suppressAutoHyphens w:val="0"/>
                    <w:autoSpaceDN/>
                    <w:spacing w:before="120"/>
                    <w:jc w:val="center"/>
                    <w:rPr>
                      <w:color w:val="auto"/>
                      <w:lang w:eastAsia="en-US"/>
                    </w:rPr>
                  </w:pPr>
                  <w:r>
                    <w:rPr>
                      <w:color w:val="auto"/>
                      <w:lang w:eastAsia="en-US"/>
                    </w:rPr>
                    <w:t>Attainment 2021</w:t>
                  </w:r>
                </w:p>
              </w:tc>
              <w:tc>
                <w:tcPr>
                  <w:tcW w:w="2171" w:type="dxa"/>
                  <w:shd w:val="clear" w:color="auto" w:fill="7F7F7F" w:themeFill="text1" w:themeFillTint="80"/>
                </w:tcPr>
                <w:p w14:paraId="52D4D43A" w14:textId="77777777" w:rsidR="00886967" w:rsidRDefault="00886967" w:rsidP="0010241A">
                  <w:pPr>
                    <w:suppressAutoHyphens w:val="0"/>
                    <w:autoSpaceDN/>
                    <w:spacing w:before="120"/>
                    <w:jc w:val="center"/>
                    <w:rPr>
                      <w:color w:val="auto"/>
                      <w:lang w:eastAsia="en-US"/>
                    </w:rPr>
                  </w:pPr>
                  <w:r>
                    <w:rPr>
                      <w:color w:val="auto"/>
                      <w:lang w:eastAsia="en-US"/>
                    </w:rPr>
                    <w:t>Attainment GAP</w:t>
                  </w:r>
                </w:p>
                <w:p w14:paraId="49DEAA08" w14:textId="77777777" w:rsidR="00886967" w:rsidRDefault="00886967" w:rsidP="0010241A">
                  <w:pPr>
                    <w:suppressAutoHyphens w:val="0"/>
                    <w:autoSpaceDN/>
                    <w:spacing w:before="120"/>
                    <w:jc w:val="center"/>
                    <w:rPr>
                      <w:color w:val="auto"/>
                      <w:lang w:eastAsia="en-US"/>
                    </w:rPr>
                  </w:pPr>
                  <w:r>
                    <w:rPr>
                      <w:color w:val="auto"/>
                      <w:lang w:eastAsia="en-US"/>
                    </w:rPr>
                    <w:t>2021</w:t>
                  </w:r>
                </w:p>
              </w:tc>
            </w:tr>
            <w:tr w:rsidR="00886967" w14:paraId="305D551E" w14:textId="77777777" w:rsidTr="0010241A">
              <w:trPr>
                <w:trHeight w:val="469"/>
              </w:trPr>
              <w:tc>
                <w:tcPr>
                  <w:tcW w:w="1718" w:type="dxa"/>
                </w:tcPr>
                <w:p w14:paraId="417D833C" w14:textId="77777777" w:rsidR="00886967" w:rsidRDefault="00886967" w:rsidP="0010241A">
                  <w:pPr>
                    <w:suppressAutoHyphens w:val="0"/>
                    <w:autoSpaceDN/>
                    <w:spacing w:before="120"/>
                    <w:jc w:val="center"/>
                    <w:rPr>
                      <w:color w:val="auto"/>
                      <w:lang w:eastAsia="en-US"/>
                    </w:rPr>
                  </w:pPr>
                  <w:r>
                    <w:rPr>
                      <w:color w:val="auto"/>
                      <w:lang w:eastAsia="en-US"/>
                    </w:rPr>
                    <w:t>English</w:t>
                  </w:r>
                </w:p>
              </w:tc>
              <w:tc>
                <w:tcPr>
                  <w:tcW w:w="2693" w:type="dxa"/>
                </w:tcPr>
                <w:p w14:paraId="072077A2" w14:textId="77777777" w:rsidR="00886967" w:rsidRDefault="00886967" w:rsidP="0010241A">
                  <w:pPr>
                    <w:suppressAutoHyphens w:val="0"/>
                    <w:autoSpaceDN/>
                    <w:spacing w:before="120"/>
                    <w:jc w:val="center"/>
                    <w:rPr>
                      <w:color w:val="auto"/>
                      <w:lang w:eastAsia="en-US"/>
                    </w:rPr>
                  </w:pPr>
                  <w:r>
                    <w:rPr>
                      <w:color w:val="auto"/>
                      <w:lang w:eastAsia="en-US"/>
                    </w:rPr>
                    <w:t>5.18</w:t>
                  </w:r>
                </w:p>
              </w:tc>
              <w:tc>
                <w:tcPr>
                  <w:tcW w:w="2918" w:type="dxa"/>
                </w:tcPr>
                <w:p w14:paraId="039A255F" w14:textId="77777777" w:rsidR="00886967" w:rsidRDefault="00886967" w:rsidP="0010241A">
                  <w:pPr>
                    <w:suppressAutoHyphens w:val="0"/>
                    <w:autoSpaceDN/>
                    <w:spacing w:before="120"/>
                    <w:jc w:val="center"/>
                    <w:rPr>
                      <w:color w:val="auto"/>
                      <w:lang w:eastAsia="en-US"/>
                    </w:rPr>
                  </w:pPr>
                  <w:r>
                    <w:rPr>
                      <w:color w:val="auto"/>
                      <w:lang w:eastAsia="en-US"/>
                    </w:rPr>
                    <w:t>4.47</w:t>
                  </w:r>
                </w:p>
              </w:tc>
              <w:tc>
                <w:tcPr>
                  <w:tcW w:w="2171" w:type="dxa"/>
                  <w:shd w:val="clear" w:color="auto" w:fill="FF0000"/>
                </w:tcPr>
                <w:p w14:paraId="4B9864BC" w14:textId="77777777" w:rsidR="00886967" w:rsidRDefault="00886967" w:rsidP="0010241A">
                  <w:pPr>
                    <w:suppressAutoHyphens w:val="0"/>
                    <w:autoSpaceDN/>
                    <w:spacing w:before="120"/>
                    <w:jc w:val="center"/>
                    <w:rPr>
                      <w:color w:val="auto"/>
                      <w:lang w:eastAsia="en-US"/>
                    </w:rPr>
                  </w:pPr>
                  <w:r>
                    <w:rPr>
                      <w:color w:val="auto"/>
                      <w:lang w:eastAsia="en-US"/>
                    </w:rPr>
                    <w:t>- 0.71</w:t>
                  </w:r>
                </w:p>
              </w:tc>
            </w:tr>
            <w:tr w:rsidR="00886967" w14:paraId="660098AC" w14:textId="77777777" w:rsidTr="0010241A">
              <w:trPr>
                <w:trHeight w:val="469"/>
              </w:trPr>
              <w:tc>
                <w:tcPr>
                  <w:tcW w:w="1718" w:type="dxa"/>
                </w:tcPr>
                <w:p w14:paraId="07972B0E" w14:textId="77777777" w:rsidR="00886967" w:rsidRDefault="00886967" w:rsidP="0010241A">
                  <w:pPr>
                    <w:suppressAutoHyphens w:val="0"/>
                    <w:autoSpaceDN/>
                    <w:spacing w:before="120"/>
                    <w:jc w:val="center"/>
                    <w:rPr>
                      <w:color w:val="auto"/>
                      <w:lang w:eastAsia="en-US"/>
                    </w:rPr>
                  </w:pPr>
                  <w:r>
                    <w:rPr>
                      <w:color w:val="auto"/>
                      <w:lang w:eastAsia="en-US"/>
                    </w:rPr>
                    <w:t>French</w:t>
                  </w:r>
                </w:p>
              </w:tc>
              <w:tc>
                <w:tcPr>
                  <w:tcW w:w="2693" w:type="dxa"/>
                </w:tcPr>
                <w:p w14:paraId="4D5B72AE" w14:textId="77777777" w:rsidR="00886967" w:rsidRDefault="00886967" w:rsidP="0010241A">
                  <w:pPr>
                    <w:suppressAutoHyphens w:val="0"/>
                    <w:autoSpaceDN/>
                    <w:spacing w:before="120"/>
                    <w:jc w:val="center"/>
                    <w:rPr>
                      <w:color w:val="auto"/>
                      <w:lang w:eastAsia="en-US"/>
                    </w:rPr>
                  </w:pPr>
                  <w:r>
                    <w:rPr>
                      <w:color w:val="auto"/>
                      <w:lang w:eastAsia="en-US"/>
                    </w:rPr>
                    <w:t>1.60</w:t>
                  </w:r>
                </w:p>
              </w:tc>
              <w:tc>
                <w:tcPr>
                  <w:tcW w:w="2918" w:type="dxa"/>
                </w:tcPr>
                <w:p w14:paraId="484B58B3" w14:textId="77777777" w:rsidR="00886967" w:rsidRDefault="00886967" w:rsidP="0010241A">
                  <w:pPr>
                    <w:suppressAutoHyphens w:val="0"/>
                    <w:autoSpaceDN/>
                    <w:spacing w:before="120"/>
                    <w:jc w:val="center"/>
                    <w:rPr>
                      <w:color w:val="auto"/>
                      <w:lang w:eastAsia="en-US"/>
                    </w:rPr>
                  </w:pPr>
                  <w:r>
                    <w:rPr>
                      <w:color w:val="auto"/>
                      <w:lang w:eastAsia="en-US"/>
                    </w:rPr>
                    <w:t>1.64</w:t>
                  </w:r>
                </w:p>
              </w:tc>
              <w:tc>
                <w:tcPr>
                  <w:tcW w:w="2171" w:type="dxa"/>
                  <w:shd w:val="clear" w:color="auto" w:fill="00B050"/>
                </w:tcPr>
                <w:p w14:paraId="0D969C8D" w14:textId="77777777" w:rsidR="00886967" w:rsidRDefault="00886967" w:rsidP="0010241A">
                  <w:pPr>
                    <w:suppressAutoHyphens w:val="0"/>
                    <w:autoSpaceDN/>
                    <w:spacing w:before="120"/>
                    <w:jc w:val="center"/>
                    <w:rPr>
                      <w:color w:val="auto"/>
                      <w:lang w:eastAsia="en-US"/>
                    </w:rPr>
                  </w:pPr>
                  <w:r>
                    <w:rPr>
                      <w:color w:val="auto"/>
                      <w:lang w:eastAsia="en-US"/>
                    </w:rPr>
                    <w:t>+ 0.04</w:t>
                  </w:r>
                </w:p>
              </w:tc>
            </w:tr>
            <w:tr w:rsidR="00886967" w14:paraId="16D430C9" w14:textId="77777777" w:rsidTr="0010241A">
              <w:trPr>
                <w:trHeight w:val="459"/>
              </w:trPr>
              <w:tc>
                <w:tcPr>
                  <w:tcW w:w="1718" w:type="dxa"/>
                </w:tcPr>
                <w:p w14:paraId="3FEDFB51" w14:textId="77777777" w:rsidR="00886967" w:rsidRDefault="00886967" w:rsidP="0010241A">
                  <w:pPr>
                    <w:suppressAutoHyphens w:val="0"/>
                    <w:autoSpaceDN/>
                    <w:spacing w:before="120"/>
                    <w:jc w:val="center"/>
                    <w:rPr>
                      <w:color w:val="auto"/>
                      <w:lang w:eastAsia="en-US"/>
                    </w:rPr>
                  </w:pPr>
                  <w:r>
                    <w:rPr>
                      <w:color w:val="auto"/>
                      <w:lang w:eastAsia="en-US"/>
                    </w:rPr>
                    <w:t>Geography</w:t>
                  </w:r>
                </w:p>
              </w:tc>
              <w:tc>
                <w:tcPr>
                  <w:tcW w:w="2693" w:type="dxa"/>
                </w:tcPr>
                <w:p w14:paraId="27CF1D6E" w14:textId="77777777" w:rsidR="00886967" w:rsidRDefault="00886967" w:rsidP="0010241A">
                  <w:pPr>
                    <w:suppressAutoHyphens w:val="0"/>
                    <w:autoSpaceDN/>
                    <w:spacing w:before="120"/>
                    <w:jc w:val="center"/>
                    <w:rPr>
                      <w:color w:val="auto"/>
                      <w:lang w:eastAsia="en-US"/>
                    </w:rPr>
                  </w:pPr>
                  <w:r>
                    <w:rPr>
                      <w:color w:val="auto"/>
                      <w:lang w:eastAsia="en-US"/>
                    </w:rPr>
                    <w:t>3.96</w:t>
                  </w:r>
                </w:p>
              </w:tc>
              <w:tc>
                <w:tcPr>
                  <w:tcW w:w="2918" w:type="dxa"/>
                </w:tcPr>
                <w:p w14:paraId="4FA8D7FB" w14:textId="77777777" w:rsidR="00886967" w:rsidRDefault="00886967" w:rsidP="0010241A">
                  <w:pPr>
                    <w:suppressAutoHyphens w:val="0"/>
                    <w:autoSpaceDN/>
                    <w:spacing w:before="120"/>
                    <w:jc w:val="center"/>
                    <w:rPr>
                      <w:color w:val="auto"/>
                      <w:lang w:eastAsia="en-US"/>
                    </w:rPr>
                  </w:pPr>
                  <w:r>
                    <w:rPr>
                      <w:color w:val="auto"/>
                      <w:lang w:eastAsia="en-US"/>
                    </w:rPr>
                    <w:t>3.67</w:t>
                  </w:r>
                </w:p>
              </w:tc>
              <w:tc>
                <w:tcPr>
                  <w:tcW w:w="2171" w:type="dxa"/>
                  <w:tcBorders>
                    <w:bottom w:val="single" w:sz="4" w:space="0" w:color="auto"/>
                  </w:tcBorders>
                  <w:shd w:val="clear" w:color="auto" w:fill="00B050"/>
                </w:tcPr>
                <w:p w14:paraId="1B729BEA" w14:textId="77777777" w:rsidR="00886967" w:rsidRDefault="00886967" w:rsidP="0010241A">
                  <w:pPr>
                    <w:suppressAutoHyphens w:val="0"/>
                    <w:autoSpaceDN/>
                    <w:spacing w:before="120"/>
                    <w:jc w:val="center"/>
                    <w:rPr>
                      <w:color w:val="auto"/>
                      <w:lang w:eastAsia="en-US"/>
                    </w:rPr>
                  </w:pPr>
                  <w:r>
                    <w:rPr>
                      <w:color w:val="auto"/>
                      <w:lang w:eastAsia="en-US"/>
                    </w:rPr>
                    <w:t>- 0.29</w:t>
                  </w:r>
                </w:p>
              </w:tc>
            </w:tr>
            <w:tr w:rsidR="00886967" w14:paraId="0C793F39" w14:textId="77777777" w:rsidTr="0010241A">
              <w:trPr>
                <w:trHeight w:val="469"/>
              </w:trPr>
              <w:tc>
                <w:tcPr>
                  <w:tcW w:w="1718" w:type="dxa"/>
                </w:tcPr>
                <w:p w14:paraId="65603B26" w14:textId="77777777" w:rsidR="00886967" w:rsidRDefault="00886967" w:rsidP="0010241A">
                  <w:pPr>
                    <w:suppressAutoHyphens w:val="0"/>
                    <w:autoSpaceDN/>
                    <w:spacing w:before="120"/>
                    <w:jc w:val="center"/>
                    <w:rPr>
                      <w:color w:val="auto"/>
                      <w:lang w:eastAsia="en-US"/>
                    </w:rPr>
                  </w:pPr>
                  <w:r>
                    <w:rPr>
                      <w:color w:val="auto"/>
                      <w:lang w:eastAsia="en-US"/>
                    </w:rPr>
                    <w:t>History</w:t>
                  </w:r>
                </w:p>
              </w:tc>
              <w:tc>
                <w:tcPr>
                  <w:tcW w:w="2693" w:type="dxa"/>
                </w:tcPr>
                <w:p w14:paraId="37CA207C" w14:textId="77777777" w:rsidR="00886967" w:rsidRDefault="00886967" w:rsidP="0010241A">
                  <w:pPr>
                    <w:suppressAutoHyphens w:val="0"/>
                    <w:autoSpaceDN/>
                    <w:spacing w:before="120"/>
                    <w:jc w:val="center"/>
                    <w:rPr>
                      <w:color w:val="auto"/>
                      <w:lang w:eastAsia="en-US"/>
                    </w:rPr>
                  </w:pPr>
                  <w:r>
                    <w:rPr>
                      <w:color w:val="auto"/>
                      <w:lang w:eastAsia="en-US"/>
                    </w:rPr>
                    <w:t>5.06</w:t>
                  </w:r>
                </w:p>
              </w:tc>
              <w:tc>
                <w:tcPr>
                  <w:tcW w:w="2918" w:type="dxa"/>
                </w:tcPr>
                <w:p w14:paraId="604CFC4D" w14:textId="77777777" w:rsidR="00886967" w:rsidRDefault="00886967" w:rsidP="0010241A">
                  <w:pPr>
                    <w:suppressAutoHyphens w:val="0"/>
                    <w:autoSpaceDN/>
                    <w:spacing w:before="120"/>
                    <w:jc w:val="center"/>
                    <w:rPr>
                      <w:color w:val="auto"/>
                      <w:lang w:eastAsia="en-US"/>
                    </w:rPr>
                  </w:pPr>
                  <w:r>
                    <w:rPr>
                      <w:color w:val="auto"/>
                      <w:lang w:eastAsia="en-US"/>
                    </w:rPr>
                    <w:t>4.00</w:t>
                  </w:r>
                </w:p>
              </w:tc>
              <w:tc>
                <w:tcPr>
                  <w:tcW w:w="2171" w:type="dxa"/>
                  <w:tcBorders>
                    <w:bottom w:val="nil"/>
                  </w:tcBorders>
                  <w:shd w:val="clear" w:color="auto" w:fill="FF0000"/>
                </w:tcPr>
                <w:p w14:paraId="04780C37" w14:textId="77777777" w:rsidR="00886967" w:rsidRDefault="00886967" w:rsidP="0010241A">
                  <w:pPr>
                    <w:suppressAutoHyphens w:val="0"/>
                    <w:autoSpaceDN/>
                    <w:spacing w:before="120"/>
                    <w:jc w:val="center"/>
                    <w:rPr>
                      <w:color w:val="auto"/>
                      <w:lang w:eastAsia="en-US"/>
                    </w:rPr>
                  </w:pPr>
                  <w:r>
                    <w:rPr>
                      <w:color w:val="auto"/>
                      <w:lang w:eastAsia="en-US"/>
                    </w:rPr>
                    <w:t>- 1.06</w:t>
                  </w:r>
                </w:p>
              </w:tc>
            </w:tr>
            <w:tr w:rsidR="00886967" w14:paraId="1D2AEE1A" w14:textId="77777777" w:rsidTr="0010241A">
              <w:trPr>
                <w:trHeight w:val="469"/>
              </w:trPr>
              <w:tc>
                <w:tcPr>
                  <w:tcW w:w="1718" w:type="dxa"/>
                </w:tcPr>
                <w:p w14:paraId="227B2BC0" w14:textId="77777777" w:rsidR="00886967" w:rsidRDefault="00886967" w:rsidP="0010241A">
                  <w:pPr>
                    <w:suppressAutoHyphens w:val="0"/>
                    <w:autoSpaceDN/>
                    <w:spacing w:before="120"/>
                    <w:jc w:val="center"/>
                    <w:rPr>
                      <w:color w:val="auto"/>
                      <w:lang w:eastAsia="en-US"/>
                    </w:rPr>
                  </w:pPr>
                  <w:r>
                    <w:rPr>
                      <w:color w:val="auto"/>
                      <w:lang w:eastAsia="en-US"/>
                    </w:rPr>
                    <w:t>Hosp/Cat</w:t>
                  </w:r>
                </w:p>
              </w:tc>
              <w:tc>
                <w:tcPr>
                  <w:tcW w:w="2693" w:type="dxa"/>
                </w:tcPr>
                <w:p w14:paraId="6A4A2782" w14:textId="77777777" w:rsidR="00886967" w:rsidRDefault="00886967" w:rsidP="0010241A">
                  <w:pPr>
                    <w:suppressAutoHyphens w:val="0"/>
                    <w:autoSpaceDN/>
                    <w:spacing w:before="120"/>
                    <w:jc w:val="center"/>
                    <w:rPr>
                      <w:color w:val="auto"/>
                      <w:lang w:eastAsia="en-US"/>
                    </w:rPr>
                  </w:pPr>
                  <w:r>
                    <w:rPr>
                      <w:color w:val="auto"/>
                      <w:lang w:eastAsia="en-US"/>
                    </w:rPr>
                    <w:t>3.50</w:t>
                  </w:r>
                </w:p>
              </w:tc>
              <w:tc>
                <w:tcPr>
                  <w:tcW w:w="2918" w:type="dxa"/>
                </w:tcPr>
                <w:p w14:paraId="39DAA05C" w14:textId="77777777" w:rsidR="00886967" w:rsidRDefault="00886967" w:rsidP="0010241A">
                  <w:pPr>
                    <w:suppressAutoHyphens w:val="0"/>
                    <w:autoSpaceDN/>
                    <w:spacing w:before="120"/>
                    <w:jc w:val="center"/>
                    <w:rPr>
                      <w:color w:val="auto"/>
                      <w:lang w:eastAsia="en-US"/>
                    </w:rPr>
                  </w:pPr>
                  <w:r>
                    <w:rPr>
                      <w:color w:val="auto"/>
                      <w:lang w:eastAsia="en-US"/>
                    </w:rPr>
                    <w:t>3.52</w:t>
                  </w:r>
                </w:p>
              </w:tc>
              <w:tc>
                <w:tcPr>
                  <w:tcW w:w="2171" w:type="dxa"/>
                  <w:tcBorders>
                    <w:top w:val="nil"/>
                  </w:tcBorders>
                  <w:shd w:val="clear" w:color="auto" w:fill="00B050"/>
                </w:tcPr>
                <w:p w14:paraId="1346C61C" w14:textId="77777777" w:rsidR="00886967" w:rsidRDefault="00886967" w:rsidP="0010241A">
                  <w:pPr>
                    <w:suppressAutoHyphens w:val="0"/>
                    <w:autoSpaceDN/>
                    <w:spacing w:before="120"/>
                    <w:jc w:val="center"/>
                    <w:rPr>
                      <w:color w:val="auto"/>
                      <w:lang w:eastAsia="en-US"/>
                    </w:rPr>
                  </w:pPr>
                  <w:r>
                    <w:rPr>
                      <w:color w:val="auto"/>
                      <w:lang w:eastAsia="en-US"/>
                    </w:rPr>
                    <w:t>+ 0.02</w:t>
                  </w:r>
                </w:p>
              </w:tc>
            </w:tr>
            <w:tr w:rsidR="00886967" w14:paraId="27460FA9" w14:textId="77777777" w:rsidTr="0010241A">
              <w:trPr>
                <w:trHeight w:val="469"/>
              </w:trPr>
              <w:tc>
                <w:tcPr>
                  <w:tcW w:w="1718" w:type="dxa"/>
                </w:tcPr>
                <w:p w14:paraId="12FD0B54" w14:textId="77777777" w:rsidR="00886967" w:rsidRDefault="00886967" w:rsidP="0010241A">
                  <w:pPr>
                    <w:suppressAutoHyphens w:val="0"/>
                    <w:autoSpaceDN/>
                    <w:spacing w:before="120"/>
                    <w:jc w:val="center"/>
                    <w:rPr>
                      <w:color w:val="auto"/>
                      <w:lang w:eastAsia="en-US"/>
                    </w:rPr>
                  </w:pPr>
                  <w:proofErr w:type="spellStart"/>
                  <w:r>
                    <w:rPr>
                      <w:color w:val="auto"/>
                      <w:lang w:eastAsia="en-US"/>
                    </w:rPr>
                    <w:t>Imedia</w:t>
                  </w:r>
                  <w:proofErr w:type="spellEnd"/>
                </w:p>
              </w:tc>
              <w:tc>
                <w:tcPr>
                  <w:tcW w:w="2693" w:type="dxa"/>
                </w:tcPr>
                <w:p w14:paraId="10A84B9E" w14:textId="77777777" w:rsidR="00886967" w:rsidRDefault="00886967" w:rsidP="0010241A">
                  <w:pPr>
                    <w:suppressAutoHyphens w:val="0"/>
                    <w:autoSpaceDN/>
                    <w:spacing w:before="120"/>
                    <w:jc w:val="center"/>
                    <w:rPr>
                      <w:color w:val="auto"/>
                      <w:lang w:eastAsia="en-US"/>
                    </w:rPr>
                  </w:pPr>
                  <w:r>
                    <w:rPr>
                      <w:color w:val="auto"/>
                      <w:lang w:eastAsia="en-US"/>
                    </w:rPr>
                    <w:t>2.67</w:t>
                  </w:r>
                </w:p>
              </w:tc>
              <w:tc>
                <w:tcPr>
                  <w:tcW w:w="2918" w:type="dxa"/>
                </w:tcPr>
                <w:p w14:paraId="2369A56C" w14:textId="77777777" w:rsidR="00886967" w:rsidRDefault="00886967" w:rsidP="0010241A">
                  <w:pPr>
                    <w:suppressAutoHyphens w:val="0"/>
                    <w:autoSpaceDN/>
                    <w:spacing w:before="120"/>
                    <w:jc w:val="center"/>
                    <w:rPr>
                      <w:color w:val="auto"/>
                      <w:lang w:eastAsia="en-US"/>
                    </w:rPr>
                  </w:pPr>
                  <w:r>
                    <w:rPr>
                      <w:color w:val="auto"/>
                      <w:lang w:eastAsia="en-US"/>
                    </w:rPr>
                    <w:t>3.33</w:t>
                  </w:r>
                </w:p>
              </w:tc>
              <w:tc>
                <w:tcPr>
                  <w:tcW w:w="2171" w:type="dxa"/>
                </w:tcPr>
                <w:p w14:paraId="26FBDC7B" w14:textId="77777777" w:rsidR="00886967" w:rsidRDefault="00886967" w:rsidP="0010241A">
                  <w:pPr>
                    <w:suppressAutoHyphens w:val="0"/>
                    <w:autoSpaceDN/>
                    <w:spacing w:before="120"/>
                    <w:jc w:val="center"/>
                    <w:rPr>
                      <w:color w:val="auto"/>
                      <w:lang w:eastAsia="en-US"/>
                    </w:rPr>
                  </w:pPr>
                  <w:r>
                    <w:rPr>
                      <w:color w:val="auto"/>
                      <w:lang w:eastAsia="en-US"/>
                    </w:rPr>
                    <w:t>+ 0.66</w:t>
                  </w:r>
                </w:p>
              </w:tc>
            </w:tr>
            <w:tr w:rsidR="00886967" w14:paraId="5C786717" w14:textId="77777777" w:rsidTr="0010241A">
              <w:trPr>
                <w:trHeight w:val="469"/>
              </w:trPr>
              <w:tc>
                <w:tcPr>
                  <w:tcW w:w="1718" w:type="dxa"/>
                </w:tcPr>
                <w:p w14:paraId="45D389FB" w14:textId="77777777" w:rsidR="00886967" w:rsidRDefault="00886967" w:rsidP="0010241A">
                  <w:pPr>
                    <w:suppressAutoHyphens w:val="0"/>
                    <w:autoSpaceDN/>
                    <w:spacing w:before="120"/>
                    <w:jc w:val="center"/>
                    <w:rPr>
                      <w:color w:val="auto"/>
                      <w:lang w:eastAsia="en-US"/>
                    </w:rPr>
                  </w:pPr>
                  <w:r>
                    <w:rPr>
                      <w:color w:val="auto"/>
                      <w:lang w:eastAsia="en-US"/>
                    </w:rPr>
                    <w:t>Mathematics</w:t>
                  </w:r>
                </w:p>
              </w:tc>
              <w:tc>
                <w:tcPr>
                  <w:tcW w:w="2693" w:type="dxa"/>
                </w:tcPr>
                <w:p w14:paraId="5F6135E0" w14:textId="77777777" w:rsidR="00886967" w:rsidRDefault="00886967" w:rsidP="0010241A">
                  <w:pPr>
                    <w:suppressAutoHyphens w:val="0"/>
                    <w:autoSpaceDN/>
                    <w:spacing w:before="120"/>
                    <w:jc w:val="center"/>
                    <w:rPr>
                      <w:color w:val="auto"/>
                      <w:lang w:eastAsia="en-US"/>
                    </w:rPr>
                  </w:pPr>
                  <w:r>
                    <w:rPr>
                      <w:color w:val="auto"/>
                      <w:lang w:eastAsia="en-US"/>
                    </w:rPr>
                    <w:t>4.63</w:t>
                  </w:r>
                </w:p>
              </w:tc>
              <w:tc>
                <w:tcPr>
                  <w:tcW w:w="2918" w:type="dxa"/>
                </w:tcPr>
                <w:p w14:paraId="2F5CCE75" w14:textId="77777777" w:rsidR="00886967" w:rsidRDefault="00886967" w:rsidP="0010241A">
                  <w:pPr>
                    <w:suppressAutoHyphens w:val="0"/>
                    <w:autoSpaceDN/>
                    <w:spacing w:before="120"/>
                    <w:jc w:val="center"/>
                    <w:rPr>
                      <w:color w:val="auto"/>
                      <w:lang w:eastAsia="en-US"/>
                    </w:rPr>
                  </w:pPr>
                  <w:r>
                    <w:rPr>
                      <w:color w:val="auto"/>
                      <w:lang w:eastAsia="en-US"/>
                    </w:rPr>
                    <w:t>3.14</w:t>
                  </w:r>
                </w:p>
              </w:tc>
              <w:tc>
                <w:tcPr>
                  <w:tcW w:w="2171" w:type="dxa"/>
                  <w:shd w:val="clear" w:color="auto" w:fill="FF0000"/>
                </w:tcPr>
                <w:p w14:paraId="1669308E" w14:textId="77777777" w:rsidR="00886967" w:rsidRDefault="00886967" w:rsidP="0010241A">
                  <w:pPr>
                    <w:suppressAutoHyphens w:val="0"/>
                    <w:autoSpaceDN/>
                    <w:spacing w:before="120"/>
                    <w:jc w:val="center"/>
                    <w:rPr>
                      <w:color w:val="auto"/>
                      <w:lang w:eastAsia="en-US"/>
                    </w:rPr>
                  </w:pPr>
                  <w:r>
                    <w:rPr>
                      <w:color w:val="auto"/>
                      <w:lang w:eastAsia="en-US"/>
                    </w:rPr>
                    <w:t>- 1.49</w:t>
                  </w:r>
                </w:p>
              </w:tc>
            </w:tr>
            <w:tr w:rsidR="00886967" w14:paraId="3F2AF8C7" w14:textId="77777777" w:rsidTr="0010241A">
              <w:trPr>
                <w:trHeight w:val="469"/>
              </w:trPr>
              <w:tc>
                <w:tcPr>
                  <w:tcW w:w="1718" w:type="dxa"/>
                </w:tcPr>
                <w:p w14:paraId="1217BD57" w14:textId="77777777" w:rsidR="00886967" w:rsidRDefault="00886967" w:rsidP="0010241A">
                  <w:pPr>
                    <w:suppressAutoHyphens w:val="0"/>
                    <w:autoSpaceDN/>
                    <w:spacing w:before="120"/>
                    <w:jc w:val="center"/>
                    <w:rPr>
                      <w:color w:val="auto"/>
                      <w:lang w:eastAsia="en-US"/>
                    </w:rPr>
                  </w:pPr>
                  <w:r>
                    <w:rPr>
                      <w:color w:val="auto"/>
                      <w:lang w:eastAsia="en-US"/>
                    </w:rPr>
                    <w:t>Music</w:t>
                  </w:r>
                </w:p>
              </w:tc>
              <w:tc>
                <w:tcPr>
                  <w:tcW w:w="2693" w:type="dxa"/>
                </w:tcPr>
                <w:p w14:paraId="33C7803B" w14:textId="77777777" w:rsidR="00886967" w:rsidRDefault="00886967" w:rsidP="0010241A">
                  <w:pPr>
                    <w:suppressAutoHyphens w:val="0"/>
                    <w:autoSpaceDN/>
                    <w:spacing w:before="120"/>
                    <w:jc w:val="center"/>
                    <w:rPr>
                      <w:color w:val="auto"/>
                      <w:lang w:eastAsia="en-US"/>
                    </w:rPr>
                  </w:pPr>
                  <w:r>
                    <w:rPr>
                      <w:color w:val="auto"/>
                      <w:lang w:eastAsia="en-US"/>
                    </w:rPr>
                    <w:t>5.00</w:t>
                  </w:r>
                </w:p>
              </w:tc>
              <w:tc>
                <w:tcPr>
                  <w:tcW w:w="2918" w:type="dxa"/>
                </w:tcPr>
                <w:p w14:paraId="078F382B" w14:textId="77777777" w:rsidR="00886967" w:rsidRDefault="00886967" w:rsidP="0010241A">
                  <w:pPr>
                    <w:suppressAutoHyphens w:val="0"/>
                    <w:autoSpaceDN/>
                    <w:spacing w:before="120"/>
                    <w:jc w:val="center"/>
                    <w:rPr>
                      <w:color w:val="auto"/>
                      <w:lang w:eastAsia="en-US"/>
                    </w:rPr>
                  </w:pPr>
                  <w:r>
                    <w:rPr>
                      <w:color w:val="auto"/>
                      <w:lang w:eastAsia="en-US"/>
                    </w:rPr>
                    <w:t>5.00</w:t>
                  </w:r>
                </w:p>
              </w:tc>
              <w:tc>
                <w:tcPr>
                  <w:tcW w:w="2171" w:type="dxa"/>
                </w:tcPr>
                <w:p w14:paraId="1C6A9035" w14:textId="77777777" w:rsidR="00886967" w:rsidRDefault="00886967" w:rsidP="0010241A">
                  <w:pPr>
                    <w:suppressAutoHyphens w:val="0"/>
                    <w:autoSpaceDN/>
                    <w:spacing w:before="120"/>
                    <w:jc w:val="center"/>
                    <w:rPr>
                      <w:color w:val="auto"/>
                      <w:lang w:eastAsia="en-US"/>
                    </w:rPr>
                  </w:pPr>
                  <w:r>
                    <w:rPr>
                      <w:color w:val="auto"/>
                      <w:lang w:eastAsia="en-US"/>
                    </w:rPr>
                    <w:t xml:space="preserve">Equal </w:t>
                  </w:r>
                </w:p>
              </w:tc>
            </w:tr>
            <w:tr w:rsidR="00886967" w14:paraId="69CC60F6" w14:textId="77777777" w:rsidTr="0010241A">
              <w:trPr>
                <w:trHeight w:val="469"/>
              </w:trPr>
              <w:tc>
                <w:tcPr>
                  <w:tcW w:w="1718" w:type="dxa"/>
                </w:tcPr>
                <w:p w14:paraId="6E96B49F" w14:textId="77777777" w:rsidR="00886967" w:rsidRDefault="00886967" w:rsidP="0010241A">
                  <w:pPr>
                    <w:suppressAutoHyphens w:val="0"/>
                    <w:autoSpaceDN/>
                    <w:spacing w:before="120"/>
                    <w:jc w:val="center"/>
                    <w:rPr>
                      <w:color w:val="auto"/>
                      <w:lang w:eastAsia="en-US"/>
                    </w:rPr>
                  </w:pPr>
                  <w:r>
                    <w:rPr>
                      <w:color w:val="auto"/>
                      <w:lang w:eastAsia="en-US"/>
                    </w:rPr>
                    <w:lastRenderedPageBreak/>
                    <w:t>Religious Studies</w:t>
                  </w:r>
                </w:p>
              </w:tc>
              <w:tc>
                <w:tcPr>
                  <w:tcW w:w="2693" w:type="dxa"/>
                </w:tcPr>
                <w:p w14:paraId="269C18CC" w14:textId="77777777" w:rsidR="00886967" w:rsidRDefault="00886967" w:rsidP="0010241A">
                  <w:pPr>
                    <w:suppressAutoHyphens w:val="0"/>
                    <w:autoSpaceDN/>
                    <w:spacing w:before="120"/>
                    <w:jc w:val="center"/>
                    <w:rPr>
                      <w:color w:val="auto"/>
                      <w:lang w:eastAsia="en-US"/>
                    </w:rPr>
                  </w:pPr>
                  <w:r>
                    <w:rPr>
                      <w:color w:val="auto"/>
                      <w:lang w:eastAsia="en-US"/>
                    </w:rPr>
                    <w:t>4.82</w:t>
                  </w:r>
                </w:p>
              </w:tc>
              <w:tc>
                <w:tcPr>
                  <w:tcW w:w="2918" w:type="dxa"/>
                </w:tcPr>
                <w:p w14:paraId="4D700647" w14:textId="77777777" w:rsidR="00886967" w:rsidRDefault="00886967" w:rsidP="0010241A">
                  <w:pPr>
                    <w:suppressAutoHyphens w:val="0"/>
                    <w:autoSpaceDN/>
                    <w:spacing w:before="120"/>
                    <w:jc w:val="center"/>
                    <w:rPr>
                      <w:color w:val="auto"/>
                      <w:lang w:eastAsia="en-US"/>
                    </w:rPr>
                  </w:pPr>
                  <w:r>
                    <w:rPr>
                      <w:color w:val="auto"/>
                      <w:lang w:eastAsia="en-US"/>
                    </w:rPr>
                    <w:t>4.33</w:t>
                  </w:r>
                </w:p>
              </w:tc>
              <w:tc>
                <w:tcPr>
                  <w:tcW w:w="2171" w:type="dxa"/>
                </w:tcPr>
                <w:p w14:paraId="5DADA629" w14:textId="77777777" w:rsidR="00886967" w:rsidRDefault="00886967" w:rsidP="0010241A">
                  <w:pPr>
                    <w:suppressAutoHyphens w:val="0"/>
                    <w:autoSpaceDN/>
                    <w:spacing w:before="120"/>
                    <w:jc w:val="center"/>
                    <w:rPr>
                      <w:color w:val="auto"/>
                      <w:lang w:eastAsia="en-US"/>
                    </w:rPr>
                  </w:pPr>
                  <w:r>
                    <w:rPr>
                      <w:color w:val="auto"/>
                      <w:lang w:eastAsia="en-US"/>
                    </w:rPr>
                    <w:t>- 0.49</w:t>
                  </w:r>
                </w:p>
              </w:tc>
            </w:tr>
            <w:tr w:rsidR="00886967" w14:paraId="17815F89" w14:textId="77777777" w:rsidTr="0010241A">
              <w:trPr>
                <w:trHeight w:val="469"/>
              </w:trPr>
              <w:tc>
                <w:tcPr>
                  <w:tcW w:w="1718" w:type="dxa"/>
                </w:tcPr>
                <w:p w14:paraId="60B0B70D" w14:textId="77777777" w:rsidR="00886967" w:rsidRDefault="00886967" w:rsidP="0010241A">
                  <w:pPr>
                    <w:suppressAutoHyphens w:val="0"/>
                    <w:autoSpaceDN/>
                    <w:spacing w:before="120"/>
                    <w:jc w:val="center"/>
                    <w:rPr>
                      <w:color w:val="auto"/>
                      <w:lang w:eastAsia="en-US"/>
                    </w:rPr>
                  </w:pPr>
                  <w:r>
                    <w:rPr>
                      <w:color w:val="auto"/>
                      <w:lang w:eastAsia="en-US"/>
                    </w:rPr>
                    <w:t>Biology</w:t>
                  </w:r>
                </w:p>
              </w:tc>
              <w:tc>
                <w:tcPr>
                  <w:tcW w:w="2693" w:type="dxa"/>
                </w:tcPr>
                <w:p w14:paraId="766B46F6" w14:textId="77777777" w:rsidR="00886967" w:rsidRDefault="00886967" w:rsidP="0010241A">
                  <w:pPr>
                    <w:suppressAutoHyphens w:val="0"/>
                    <w:autoSpaceDN/>
                    <w:spacing w:before="120"/>
                    <w:jc w:val="center"/>
                    <w:rPr>
                      <w:color w:val="auto"/>
                      <w:lang w:eastAsia="en-US"/>
                    </w:rPr>
                  </w:pPr>
                  <w:r>
                    <w:rPr>
                      <w:color w:val="auto"/>
                      <w:lang w:eastAsia="en-US"/>
                    </w:rPr>
                    <w:t>5.91</w:t>
                  </w:r>
                </w:p>
              </w:tc>
              <w:tc>
                <w:tcPr>
                  <w:tcW w:w="2918" w:type="dxa"/>
                </w:tcPr>
                <w:p w14:paraId="0C8E3206" w14:textId="77777777" w:rsidR="00886967" w:rsidRDefault="00886967" w:rsidP="0010241A">
                  <w:pPr>
                    <w:suppressAutoHyphens w:val="0"/>
                    <w:autoSpaceDN/>
                    <w:spacing w:before="120"/>
                    <w:jc w:val="center"/>
                    <w:rPr>
                      <w:color w:val="auto"/>
                      <w:lang w:eastAsia="en-US"/>
                    </w:rPr>
                  </w:pPr>
                  <w:r>
                    <w:rPr>
                      <w:color w:val="auto"/>
                      <w:lang w:eastAsia="en-US"/>
                    </w:rPr>
                    <w:t>5.37</w:t>
                  </w:r>
                </w:p>
              </w:tc>
              <w:tc>
                <w:tcPr>
                  <w:tcW w:w="2171" w:type="dxa"/>
                </w:tcPr>
                <w:p w14:paraId="4621BDF6" w14:textId="77777777" w:rsidR="00886967" w:rsidRDefault="00886967" w:rsidP="0010241A">
                  <w:pPr>
                    <w:suppressAutoHyphens w:val="0"/>
                    <w:autoSpaceDN/>
                    <w:spacing w:before="120"/>
                    <w:jc w:val="center"/>
                    <w:rPr>
                      <w:color w:val="auto"/>
                      <w:lang w:eastAsia="en-US"/>
                    </w:rPr>
                  </w:pPr>
                  <w:r>
                    <w:rPr>
                      <w:color w:val="auto"/>
                      <w:lang w:eastAsia="en-US"/>
                    </w:rPr>
                    <w:t>- 0.54</w:t>
                  </w:r>
                </w:p>
              </w:tc>
            </w:tr>
            <w:tr w:rsidR="00886967" w14:paraId="703697E9" w14:textId="77777777" w:rsidTr="0010241A">
              <w:trPr>
                <w:trHeight w:val="469"/>
              </w:trPr>
              <w:tc>
                <w:tcPr>
                  <w:tcW w:w="1718" w:type="dxa"/>
                </w:tcPr>
                <w:p w14:paraId="593AC417" w14:textId="77777777" w:rsidR="00886967" w:rsidRDefault="00886967" w:rsidP="0010241A">
                  <w:pPr>
                    <w:suppressAutoHyphens w:val="0"/>
                    <w:autoSpaceDN/>
                    <w:spacing w:before="120"/>
                    <w:jc w:val="center"/>
                    <w:rPr>
                      <w:color w:val="auto"/>
                      <w:lang w:eastAsia="en-US"/>
                    </w:rPr>
                  </w:pPr>
                  <w:r>
                    <w:rPr>
                      <w:color w:val="auto"/>
                      <w:lang w:eastAsia="en-US"/>
                    </w:rPr>
                    <w:t>Chemistry</w:t>
                  </w:r>
                </w:p>
              </w:tc>
              <w:tc>
                <w:tcPr>
                  <w:tcW w:w="2693" w:type="dxa"/>
                </w:tcPr>
                <w:p w14:paraId="3E817E79" w14:textId="77777777" w:rsidR="00886967" w:rsidRDefault="00886967" w:rsidP="0010241A">
                  <w:pPr>
                    <w:suppressAutoHyphens w:val="0"/>
                    <w:autoSpaceDN/>
                    <w:spacing w:before="120"/>
                    <w:jc w:val="center"/>
                    <w:rPr>
                      <w:color w:val="auto"/>
                      <w:lang w:eastAsia="en-US"/>
                    </w:rPr>
                  </w:pPr>
                  <w:r>
                    <w:rPr>
                      <w:color w:val="auto"/>
                      <w:lang w:eastAsia="en-US"/>
                    </w:rPr>
                    <w:t>5.97</w:t>
                  </w:r>
                </w:p>
              </w:tc>
              <w:tc>
                <w:tcPr>
                  <w:tcW w:w="2918" w:type="dxa"/>
                </w:tcPr>
                <w:p w14:paraId="08DDB2D0" w14:textId="77777777" w:rsidR="00886967" w:rsidRDefault="00886967" w:rsidP="0010241A">
                  <w:pPr>
                    <w:suppressAutoHyphens w:val="0"/>
                    <w:autoSpaceDN/>
                    <w:spacing w:before="120"/>
                    <w:jc w:val="center"/>
                    <w:rPr>
                      <w:color w:val="auto"/>
                      <w:lang w:eastAsia="en-US"/>
                    </w:rPr>
                  </w:pPr>
                  <w:r>
                    <w:rPr>
                      <w:color w:val="auto"/>
                      <w:lang w:eastAsia="en-US"/>
                    </w:rPr>
                    <w:t>5.32</w:t>
                  </w:r>
                </w:p>
              </w:tc>
              <w:tc>
                <w:tcPr>
                  <w:tcW w:w="2171" w:type="dxa"/>
                </w:tcPr>
                <w:p w14:paraId="3C219AA6" w14:textId="77777777" w:rsidR="00886967" w:rsidRDefault="00886967" w:rsidP="0010241A">
                  <w:pPr>
                    <w:suppressAutoHyphens w:val="0"/>
                    <w:autoSpaceDN/>
                    <w:spacing w:before="120"/>
                    <w:jc w:val="center"/>
                    <w:rPr>
                      <w:color w:val="auto"/>
                      <w:lang w:eastAsia="en-US"/>
                    </w:rPr>
                  </w:pPr>
                  <w:r>
                    <w:rPr>
                      <w:color w:val="auto"/>
                      <w:lang w:eastAsia="en-US"/>
                    </w:rPr>
                    <w:t>- 0.65</w:t>
                  </w:r>
                </w:p>
              </w:tc>
            </w:tr>
            <w:tr w:rsidR="00886967" w14:paraId="5EF65869" w14:textId="77777777" w:rsidTr="0010241A">
              <w:trPr>
                <w:trHeight w:val="469"/>
              </w:trPr>
              <w:tc>
                <w:tcPr>
                  <w:tcW w:w="1718" w:type="dxa"/>
                </w:tcPr>
                <w:p w14:paraId="796EBC07" w14:textId="77777777" w:rsidR="00886967" w:rsidRDefault="00886967" w:rsidP="0010241A">
                  <w:pPr>
                    <w:suppressAutoHyphens w:val="0"/>
                    <w:autoSpaceDN/>
                    <w:spacing w:before="120"/>
                    <w:jc w:val="center"/>
                    <w:rPr>
                      <w:color w:val="auto"/>
                      <w:lang w:eastAsia="en-US"/>
                    </w:rPr>
                  </w:pPr>
                  <w:r>
                    <w:rPr>
                      <w:color w:val="auto"/>
                      <w:lang w:eastAsia="en-US"/>
                    </w:rPr>
                    <w:t>Combined S</w:t>
                  </w:r>
                </w:p>
              </w:tc>
              <w:tc>
                <w:tcPr>
                  <w:tcW w:w="2693" w:type="dxa"/>
                </w:tcPr>
                <w:p w14:paraId="28305873" w14:textId="77777777" w:rsidR="00886967" w:rsidRDefault="00886967" w:rsidP="0010241A">
                  <w:pPr>
                    <w:suppressAutoHyphens w:val="0"/>
                    <w:autoSpaceDN/>
                    <w:spacing w:before="120"/>
                    <w:jc w:val="center"/>
                    <w:rPr>
                      <w:color w:val="auto"/>
                      <w:lang w:eastAsia="en-US"/>
                    </w:rPr>
                  </w:pPr>
                  <w:r>
                    <w:rPr>
                      <w:color w:val="auto"/>
                      <w:lang w:eastAsia="en-US"/>
                    </w:rPr>
                    <w:t>3.05</w:t>
                  </w:r>
                </w:p>
              </w:tc>
              <w:tc>
                <w:tcPr>
                  <w:tcW w:w="2918" w:type="dxa"/>
                </w:tcPr>
                <w:p w14:paraId="61BDE9A6" w14:textId="77777777" w:rsidR="00886967" w:rsidRDefault="00886967" w:rsidP="0010241A">
                  <w:pPr>
                    <w:suppressAutoHyphens w:val="0"/>
                    <w:autoSpaceDN/>
                    <w:spacing w:before="120"/>
                    <w:jc w:val="center"/>
                    <w:rPr>
                      <w:color w:val="auto"/>
                      <w:lang w:eastAsia="en-US"/>
                    </w:rPr>
                  </w:pPr>
                  <w:r>
                    <w:rPr>
                      <w:color w:val="auto"/>
                      <w:lang w:eastAsia="en-US"/>
                    </w:rPr>
                    <w:t>3.36</w:t>
                  </w:r>
                </w:p>
              </w:tc>
              <w:tc>
                <w:tcPr>
                  <w:tcW w:w="2171" w:type="dxa"/>
                  <w:shd w:val="clear" w:color="auto" w:fill="00B050"/>
                </w:tcPr>
                <w:p w14:paraId="4DB97625" w14:textId="77777777" w:rsidR="00886967" w:rsidRDefault="00886967" w:rsidP="0010241A">
                  <w:pPr>
                    <w:suppressAutoHyphens w:val="0"/>
                    <w:autoSpaceDN/>
                    <w:spacing w:before="120"/>
                    <w:jc w:val="center"/>
                    <w:rPr>
                      <w:color w:val="auto"/>
                      <w:lang w:eastAsia="en-US"/>
                    </w:rPr>
                  </w:pPr>
                  <w:r>
                    <w:rPr>
                      <w:color w:val="auto"/>
                      <w:lang w:eastAsia="en-US"/>
                    </w:rPr>
                    <w:t>+ 0.31</w:t>
                  </w:r>
                </w:p>
              </w:tc>
            </w:tr>
            <w:tr w:rsidR="00886967" w14:paraId="6456D246" w14:textId="77777777" w:rsidTr="0010241A">
              <w:trPr>
                <w:trHeight w:val="469"/>
              </w:trPr>
              <w:tc>
                <w:tcPr>
                  <w:tcW w:w="1718" w:type="dxa"/>
                </w:tcPr>
                <w:p w14:paraId="2BAA8E5C" w14:textId="77777777" w:rsidR="00886967" w:rsidRDefault="00886967" w:rsidP="0010241A">
                  <w:pPr>
                    <w:suppressAutoHyphens w:val="0"/>
                    <w:autoSpaceDN/>
                    <w:spacing w:before="120"/>
                    <w:jc w:val="center"/>
                    <w:rPr>
                      <w:color w:val="auto"/>
                      <w:lang w:eastAsia="en-US"/>
                    </w:rPr>
                  </w:pPr>
                  <w:r>
                    <w:rPr>
                      <w:color w:val="auto"/>
                      <w:lang w:eastAsia="en-US"/>
                    </w:rPr>
                    <w:t>Spanish</w:t>
                  </w:r>
                </w:p>
              </w:tc>
              <w:tc>
                <w:tcPr>
                  <w:tcW w:w="2693" w:type="dxa"/>
                </w:tcPr>
                <w:p w14:paraId="49242D92" w14:textId="77777777" w:rsidR="00886967" w:rsidRDefault="00886967" w:rsidP="0010241A">
                  <w:pPr>
                    <w:suppressAutoHyphens w:val="0"/>
                    <w:autoSpaceDN/>
                    <w:spacing w:before="120"/>
                    <w:jc w:val="center"/>
                    <w:rPr>
                      <w:color w:val="auto"/>
                      <w:lang w:eastAsia="en-US"/>
                    </w:rPr>
                  </w:pPr>
                  <w:r>
                    <w:rPr>
                      <w:color w:val="auto"/>
                      <w:lang w:eastAsia="en-US"/>
                    </w:rPr>
                    <w:t>4.89</w:t>
                  </w:r>
                </w:p>
              </w:tc>
              <w:tc>
                <w:tcPr>
                  <w:tcW w:w="2918" w:type="dxa"/>
                </w:tcPr>
                <w:p w14:paraId="0BF52531" w14:textId="77777777" w:rsidR="00886967" w:rsidRDefault="00886967" w:rsidP="0010241A">
                  <w:pPr>
                    <w:suppressAutoHyphens w:val="0"/>
                    <w:autoSpaceDN/>
                    <w:spacing w:before="120"/>
                    <w:jc w:val="center"/>
                    <w:rPr>
                      <w:color w:val="auto"/>
                      <w:lang w:eastAsia="en-US"/>
                    </w:rPr>
                  </w:pPr>
                  <w:r>
                    <w:rPr>
                      <w:color w:val="auto"/>
                      <w:lang w:eastAsia="en-US"/>
                    </w:rPr>
                    <w:t>4.50</w:t>
                  </w:r>
                </w:p>
              </w:tc>
              <w:tc>
                <w:tcPr>
                  <w:tcW w:w="2171" w:type="dxa"/>
                </w:tcPr>
                <w:p w14:paraId="56A07289" w14:textId="77777777" w:rsidR="00886967" w:rsidRDefault="00886967" w:rsidP="0010241A">
                  <w:pPr>
                    <w:suppressAutoHyphens w:val="0"/>
                    <w:autoSpaceDN/>
                    <w:spacing w:before="120"/>
                    <w:jc w:val="center"/>
                    <w:rPr>
                      <w:color w:val="auto"/>
                      <w:lang w:eastAsia="en-US"/>
                    </w:rPr>
                  </w:pPr>
                  <w:r>
                    <w:rPr>
                      <w:color w:val="auto"/>
                      <w:lang w:eastAsia="en-US"/>
                    </w:rPr>
                    <w:t>- 0.39</w:t>
                  </w:r>
                </w:p>
              </w:tc>
            </w:tr>
            <w:tr w:rsidR="00886967" w14:paraId="0761FAC1" w14:textId="77777777" w:rsidTr="0010241A">
              <w:trPr>
                <w:trHeight w:val="469"/>
              </w:trPr>
              <w:tc>
                <w:tcPr>
                  <w:tcW w:w="1718" w:type="dxa"/>
                </w:tcPr>
                <w:p w14:paraId="71CDC5D5" w14:textId="77777777" w:rsidR="00886967" w:rsidRDefault="00886967" w:rsidP="0010241A">
                  <w:pPr>
                    <w:suppressAutoHyphens w:val="0"/>
                    <w:autoSpaceDN/>
                    <w:spacing w:before="120"/>
                    <w:jc w:val="center"/>
                    <w:rPr>
                      <w:color w:val="auto"/>
                      <w:lang w:eastAsia="en-US"/>
                    </w:rPr>
                  </w:pPr>
                  <w:r>
                    <w:rPr>
                      <w:color w:val="auto"/>
                      <w:lang w:eastAsia="en-US"/>
                    </w:rPr>
                    <w:t>Physics</w:t>
                  </w:r>
                </w:p>
              </w:tc>
              <w:tc>
                <w:tcPr>
                  <w:tcW w:w="2693" w:type="dxa"/>
                </w:tcPr>
                <w:p w14:paraId="7E2B66A0" w14:textId="77777777" w:rsidR="00886967" w:rsidRDefault="00886967" w:rsidP="0010241A">
                  <w:pPr>
                    <w:suppressAutoHyphens w:val="0"/>
                    <w:autoSpaceDN/>
                    <w:spacing w:before="120"/>
                    <w:jc w:val="center"/>
                    <w:rPr>
                      <w:color w:val="auto"/>
                      <w:lang w:eastAsia="en-US"/>
                    </w:rPr>
                  </w:pPr>
                  <w:r>
                    <w:rPr>
                      <w:color w:val="auto"/>
                      <w:lang w:eastAsia="en-US"/>
                    </w:rPr>
                    <w:t>5.91</w:t>
                  </w:r>
                </w:p>
              </w:tc>
              <w:tc>
                <w:tcPr>
                  <w:tcW w:w="2918" w:type="dxa"/>
                </w:tcPr>
                <w:p w14:paraId="620CF7D7" w14:textId="77777777" w:rsidR="00886967" w:rsidRDefault="00886967" w:rsidP="0010241A">
                  <w:pPr>
                    <w:suppressAutoHyphens w:val="0"/>
                    <w:autoSpaceDN/>
                    <w:spacing w:before="120"/>
                    <w:jc w:val="center"/>
                    <w:rPr>
                      <w:color w:val="auto"/>
                      <w:lang w:eastAsia="en-US"/>
                    </w:rPr>
                  </w:pPr>
                  <w:r>
                    <w:rPr>
                      <w:color w:val="auto"/>
                      <w:lang w:eastAsia="en-US"/>
                    </w:rPr>
                    <w:t>5.42</w:t>
                  </w:r>
                </w:p>
              </w:tc>
              <w:tc>
                <w:tcPr>
                  <w:tcW w:w="2171" w:type="dxa"/>
                </w:tcPr>
                <w:p w14:paraId="268CECB7" w14:textId="77777777" w:rsidR="00886967" w:rsidRDefault="00886967" w:rsidP="0010241A">
                  <w:pPr>
                    <w:suppressAutoHyphens w:val="0"/>
                    <w:autoSpaceDN/>
                    <w:spacing w:before="120"/>
                    <w:jc w:val="center"/>
                    <w:rPr>
                      <w:color w:val="auto"/>
                      <w:lang w:eastAsia="en-US"/>
                    </w:rPr>
                  </w:pPr>
                  <w:r>
                    <w:rPr>
                      <w:color w:val="auto"/>
                      <w:lang w:eastAsia="en-US"/>
                    </w:rPr>
                    <w:t>- 0.49</w:t>
                  </w:r>
                </w:p>
              </w:tc>
            </w:tr>
            <w:tr w:rsidR="00886967" w14:paraId="022FED60" w14:textId="77777777" w:rsidTr="0010241A">
              <w:trPr>
                <w:trHeight w:val="469"/>
              </w:trPr>
              <w:tc>
                <w:tcPr>
                  <w:tcW w:w="1718" w:type="dxa"/>
                </w:tcPr>
                <w:p w14:paraId="54DD8286" w14:textId="77777777" w:rsidR="00886967" w:rsidRDefault="00886967" w:rsidP="0010241A">
                  <w:pPr>
                    <w:suppressAutoHyphens w:val="0"/>
                    <w:autoSpaceDN/>
                    <w:spacing w:before="120"/>
                    <w:jc w:val="center"/>
                    <w:rPr>
                      <w:color w:val="auto"/>
                      <w:lang w:eastAsia="en-US"/>
                    </w:rPr>
                  </w:pPr>
                  <w:r>
                    <w:rPr>
                      <w:color w:val="auto"/>
                      <w:lang w:eastAsia="en-US"/>
                    </w:rPr>
                    <w:t>BTEC Sport</w:t>
                  </w:r>
                </w:p>
              </w:tc>
              <w:tc>
                <w:tcPr>
                  <w:tcW w:w="2693" w:type="dxa"/>
                </w:tcPr>
                <w:p w14:paraId="50E5224D" w14:textId="77777777" w:rsidR="00886967" w:rsidRDefault="00886967" w:rsidP="0010241A">
                  <w:pPr>
                    <w:suppressAutoHyphens w:val="0"/>
                    <w:autoSpaceDN/>
                    <w:spacing w:before="120"/>
                    <w:jc w:val="center"/>
                    <w:rPr>
                      <w:color w:val="auto"/>
                      <w:lang w:eastAsia="en-US"/>
                    </w:rPr>
                  </w:pPr>
                  <w:r>
                    <w:rPr>
                      <w:color w:val="auto"/>
                      <w:lang w:eastAsia="en-US"/>
                    </w:rPr>
                    <w:t>3.85</w:t>
                  </w:r>
                </w:p>
              </w:tc>
              <w:tc>
                <w:tcPr>
                  <w:tcW w:w="2918" w:type="dxa"/>
                </w:tcPr>
                <w:p w14:paraId="0161B2BA" w14:textId="77777777" w:rsidR="00886967" w:rsidRDefault="00886967" w:rsidP="0010241A">
                  <w:pPr>
                    <w:suppressAutoHyphens w:val="0"/>
                    <w:autoSpaceDN/>
                    <w:spacing w:before="120"/>
                    <w:jc w:val="center"/>
                    <w:rPr>
                      <w:color w:val="auto"/>
                      <w:lang w:eastAsia="en-US"/>
                    </w:rPr>
                  </w:pPr>
                  <w:r>
                    <w:rPr>
                      <w:color w:val="auto"/>
                      <w:lang w:eastAsia="en-US"/>
                    </w:rPr>
                    <w:t>3.67</w:t>
                  </w:r>
                </w:p>
              </w:tc>
              <w:tc>
                <w:tcPr>
                  <w:tcW w:w="2171" w:type="dxa"/>
                  <w:shd w:val="clear" w:color="auto" w:fill="00B050"/>
                </w:tcPr>
                <w:p w14:paraId="1C123961" w14:textId="77777777" w:rsidR="00886967" w:rsidRDefault="00886967" w:rsidP="0010241A">
                  <w:pPr>
                    <w:suppressAutoHyphens w:val="0"/>
                    <w:autoSpaceDN/>
                    <w:spacing w:before="120"/>
                    <w:jc w:val="center"/>
                    <w:rPr>
                      <w:color w:val="auto"/>
                      <w:lang w:eastAsia="en-US"/>
                    </w:rPr>
                  </w:pPr>
                  <w:r>
                    <w:rPr>
                      <w:color w:val="auto"/>
                      <w:lang w:eastAsia="en-US"/>
                    </w:rPr>
                    <w:t>- 0.18</w:t>
                  </w:r>
                </w:p>
              </w:tc>
            </w:tr>
            <w:tr w:rsidR="00886967" w14:paraId="1D91A52C" w14:textId="77777777" w:rsidTr="0010241A">
              <w:trPr>
                <w:trHeight w:val="469"/>
              </w:trPr>
              <w:tc>
                <w:tcPr>
                  <w:tcW w:w="1718" w:type="dxa"/>
                </w:tcPr>
                <w:p w14:paraId="03B21E29" w14:textId="77777777" w:rsidR="00886967" w:rsidRPr="00614266" w:rsidRDefault="00886967" w:rsidP="0010241A">
                  <w:pPr>
                    <w:suppressAutoHyphens w:val="0"/>
                    <w:autoSpaceDN/>
                    <w:spacing w:before="120"/>
                    <w:jc w:val="center"/>
                    <w:rPr>
                      <w:color w:val="auto"/>
                      <w:lang w:eastAsia="en-US"/>
                    </w:rPr>
                  </w:pPr>
                  <w:r w:rsidRPr="00614266">
                    <w:rPr>
                      <w:color w:val="auto"/>
                      <w:lang w:eastAsia="en-US"/>
                    </w:rPr>
                    <w:t xml:space="preserve">TOTAL: </w:t>
                  </w:r>
                </w:p>
              </w:tc>
              <w:tc>
                <w:tcPr>
                  <w:tcW w:w="2693" w:type="dxa"/>
                </w:tcPr>
                <w:p w14:paraId="633BAF0C" w14:textId="77777777" w:rsidR="00886967" w:rsidRPr="00614266" w:rsidRDefault="00886967" w:rsidP="0010241A">
                  <w:pPr>
                    <w:suppressAutoHyphens w:val="0"/>
                    <w:autoSpaceDN/>
                    <w:spacing w:before="120"/>
                    <w:jc w:val="center"/>
                    <w:rPr>
                      <w:color w:val="auto"/>
                      <w:lang w:eastAsia="en-US"/>
                    </w:rPr>
                  </w:pPr>
                  <w:r w:rsidRPr="00614266">
                    <w:rPr>
                      <w:color w:val="auto"/>
                      <w:lang w:eastAsia="en-US"/>
                    </w:rPr>
                    <w:t xml:space="preserve">AVG: 4.4 </w:t>
                  </w:r>
                </w:p>
              </w:tc>
              <w:tc>
                <w:tcPr>
                  <w:tcW w:w="2918" w:type="dxa"/>
                </w:tcPr>
                <w:p w14:paraId="03B755A1" w14:textId="77777777" w:rsidR="00886967" w:rsidRPr="00614266" w:rsidRDefault="00886967" w:rsidP="0010241A">
                  <w:pPr>
                    <w:suppressAutoHyphens w:val="0"/>
                    <w:autoSpaceDN/>
                    <w:spacing w:before="120"/>
                    <w:jc w:val="center"/>
                    <w:rPr>
                      <w:color w:val="auto"/>
                      <w:lang w:eastAsia="en-US"/>
                    </w:rPr>
                  </w:pPr>
                  <w:r w:rsidRPr="00614266">
                    <w:rPr>
                      <w:color w:val="auto"/>
                      <w:lang w:eastAsia="en-US"/>
                    </w:rPr>
                    <w:t xml:space="preserve">AVG: </w:t>
                  </w:r>
                  <w:r>
                    <w:rPr>
                      <w:color w:val="auto"/>
                      <w:lang w:eastAsia="en-US"/>
                    </w:rPr>
                    <w:t>4.0</w:t>
                  </w:r>
                  <w:r w:rsidRPr="00614266">
                    <w:rPr>
                      <w:color w:val="auto"/>
                      <w:lang w:eastAsia="en-US"/>
                    </w:rPr>
                    <w:t>9</w:t>
                  </w:r>
                </w:p>
              </w:tc>
              <w:tc>
                <w:tcPr>
                  <w:tcW w:w="2171" w:type="dxa"/>
                  <w:shd w:val="clear" w:color="auto" w:fill="00B050"/>
                </w:tcPr>
                <w:p w14:paraId="2B5CAE26" w14:textId="77777777" w:rsidR="00886967" w:rsidRPr="00614266" w:rsidRDefault="00886967" w:rsidP="00886967">
                  <w:pPr>
                    <w:pStyle w:val="ListParagraph"/>
                    <w:numPr>
                      <w:ilvl w:val="0"/>
                      <w:numId w:val="2"/>
                    </w:numPr>
                    <w:suppressAutoHyphens w:val="0"/>
                    <w:autoSpaceDN/>
                    <w:spacing w:before="120"/>
                    <w:jc w:val="center"/>
                    <w:rPr>
                      <w:color w:val="auto"/>
                      <w:lang w:eastAsia="en-US"/>
                    </w:rPr>
                  </w:pPr>
                  <w:r w:rsidRPr="00614266">
                    <w:rPr>
                      <w:color w:val="auto"/>
                      <w:lang w:eastAsia="en-US"/>
                    </w:rPr>
                    <w:t>0.45</w:t>
                  </w:r>
                </w:p>
              </w:tc>
            </w:tr>
          </w:tbl>
          <w:p w14:paraId="777A59C1" w14:textId="77777777" w:rsidR="00886967" w:rsidRDefault="00886967" w:rsidP="0010241A">
            <w:pPr>
              <w:pStyle w:val="ListParagraph"/>
              <w:numPr>
                <w:ilvl w:val="0"/>
                <w:numId w:val="0"/>
              </w:numPr>
              <w:suppressAutoHyphens w:val="0"/>
              <w:autoSpaceDN/>
              <w:spacing w:before="120"/>
              <w:ind w:left="720"/>
              <w:rPr>
                <w:color w:val="auto"/>
                <w:lang w:eastAsia="en-US"/>
              </w:rPr>
            </w:pPr>
          </w:p>
          <w:p w14:paraId="2BD239F9" w14:textId="7E6346A7" w:rsidR="005F2F66" w:rsidRDefault="00886967" w:rsidP="00644014">
            <w:pPr>
              <w:pStyle w:val="ListParagraph"/>
              <w:numPr>
                <w:ilvl w:val="0"/>
                <w:numId w:val="2"/>
              </w:numPr>
              <w:suppressAutoHyphens w:val="0"/>
              <w:autoSpaceDN/>
              <w:spacing w:before="120"/>
              <w:rPr>
                <w:color w:val="auto"/>
                <w:lang w:eastAsia="en-US"/>
              </w:rPr>
            </w:pPr>
            <w:r w:rsidRPr="00605666">
              <w:rPr>
                <w:color w:val="auto"/>
                <w:lang w:eastAsia="en-US"/>
              </w:rPr>
              <w:t xml:space="preserve">Saturday revision sessions were not able to take place due to the impact of COVID 19. </w:t>
            </w:r>
            <w:r w:rsidR="00595769">
              <w:rPr>
                <w:color w:val="auto"/>
                <w:lang w:eastAsia="en-US"/>
              </w:rPr>
              <w:t>However, i</w:t>
            </w:r>
            <w:r w:rsidRPr="00605666">
              <w:rPr>
                <w:color w:val="auto"/>
                <w:lang w:eastAsia="en-US"/>
              </w:rPr>
              <w:t xml:space="preserve">ntervention did take place after </w:t>
            </w:r>
            <w:r w:rsidR="00595769">
              <w:rPr>
                <w:color w:val="auto"/>
                <w:lang w:eastAsia="en-US"/>
              </w:rPr>
              <w:t>the Academy Day</w:t>
            </w:r>
            <w:r w:rsidRPr="00605666">
              <w:rPr>
                <w:color w:val="auto"/>
                <w:lang w:eastAsia="en-US"/>
              </w:rPr>
              <w:t xml:space="preserve"> to ensure that students had time to complete </w:t>
            </w:r>
            <w:r w:rsidR="00595769">
              <w:rPr>
                <w:color w:val="auto"/>
                <w:lang w:eastAsia="en-US"/>
              </w:rPr>
              <w:t xml:space="preserve">work towards </w:t>
            </w:r>
            <w:r w:rsidRPr="00605666">
              <w:rPr>
                <w:color w:val="auto"/>
                <w:lang w:eastAsia="en-US"/>
              </w:rPr>
              <w:t>th</w:t>
            </w:r>
            <w:r w:rsidR="00595769">
              <w:rPr>
                <w:color w:val="auto"/>
                <w:lang w:eastAsia="en-US"/>
              </w:rPr>
              <w:t>eir portfolios (TAGS)</w:t>
            </w:r>
            <w:r w:rsidR="005F2F66">
              <w:rPr>
                <w:color w:val="auto"/>
                <w:lang w:eastAsia="en-US"/>
              </w:rPr>
              <w:t xml:space="preserve"> and work with our dedicated team of teachers.</w:t>
            </w:r>
          </w:p>
          <w:p w14:paraId="3B06DED9" w14:textId="77777777" w:rsidR="00886967" w:rsidRPr="00605666" w:rsidRDefault="00886967" w:rsidP="00644014">
            <w:pPr>
              <w:pStyle w:val="ListParagraph"/>
              <w:numPr>
                <w:ilvl w:val="0"/>
                <w:numId w:val="2"/>
              </w:numPr>
              <w:suppressAutoHyphens w:val="0"/>
              <w:autoSpaceDN/>
              <w:spacing w:before="120"/>
              <w:rPr>
                <w:color w:val="auto"/>
                <w:lang w:eastAsia="en-US"/>
              </w:rPr>
            </w:pPr>
            <w:r w:rsidRPr="00605666">
              <w:rPr>
                <w:color w:val="auto"/>
                <w:lang w:eastAsia="en-US"/>
              </w:rPr>
              <w:t>Subjects with the strongest Disadvantaged</w:t>
            </w:r>
            <w:r w:rsidR="004C7461">
              <w:rPr>
                <w:color w:val="auto"/>
                <w:lang w:eastAsia="en-US"/>
              </w:rPr>
              <w:t xml:space="preserve"> Student a</w:t>
            </w:r>
            <w:r w:rsidRPr="00605666">
              <w:rPr>
                <w:color w:val="auto"/>
                <w:lang w:eastAsia="en-US"/>
              </w:rPr>
              <w:t xml:space="preserve">ttainment figures include:    French, Geography, Hospitality, Combined Science and BTEC sport.  </w:t>
            </w:r>
          </w:p>
          <w:p w14:paraId="119FF90F" w14:textId="419A8175" w:rsidR="00886967" w:rsidRDefault="00886967" w:rsidP="00886967">
            <w:pPr>
              <w:pStyle w:val="ListParagraph"/>
              <w:numPr>
                <w:ilvl w:val="0"/>
                <w:numId w:val="2"/>
              </w:numPr>
              <w:suppressAutoHyphens w:val="0"/>
              <w:autoSpaceDN/>
              <w:spacing w:before="120"/>
              <w:rPr>
                <w:color w:val="auto"/>
                <w:lang w:eastAsia="en-US"/>
              </w:rPr>
            </w:pPr>
            <w:r>
              <w:rPr>
                <w:color w:val="auto"/>
                <w:lang w:eastAsia="en-US"/>
              </w:rPr>
              <w:t>The largest GAP in attainment was in subjects:</w:t>
            </w:r>
            <w:r w:rsidR="00605666">
              <w:rPr>
                <w:color w:val="auto"/>
                <w:lang w:eastAsia="en-US"/>
              </w:rPr>
              <w:t xml:space="preserve"> </w:t>
            </w:r>
            <w:r w:rsidRPr="004C7461">
              <w:rPr>
                <w:color w:val="auto"/>
                <w:lang w:eastAsia="en-US"/>
              </w:rPr>
              <w:t>English, Maths and History.</w:t>
            </w:r>
            <w:r>
              <w:rPr>
                <w:color w:val="auto"/>
                <w:lang w:eastAsia="en-US"/>
              </w:rPr>
              <w:t xml:space="preserve">   </w:t>
            </w:r>
          </w:p>
          <w:p w14:paraId="41228034" w14:textId="77777777" w:rsidR="00886967" w:rsidRDefault="00886967" w:rsidP="00886967">
            <w:pPr>
              <w:pStyle w:val="ListParagraph"/>
              <w:numPr>
                <w:ilvl w:val="0"/>
                <w:numId w:val="2"/>
              </w:numPr>
              <w:suppressAutoHyphens w:val="0"/>
              <w:autoSpaceDN/>
              <w:spacing w:before="120"/>
              <w:rPr>
                <w:color w:val="auto"/>
                <w:lang w:eastAsia="en-US"/>
              </w:rPr>
            </w:pPr>
            <w:r>
              <w:rPr>
                <w:color w:val="auto"/>
                <w:lang w:eastAsia="en-US"/>
              </w:rPr>
              <w:t xml:space="preserve">PIXL </w:t>
            </w:r>
            <w:r w:rsidR="00A15761">
              <w:rPr>
                <w:color w:val="auto"/>
                <w:lang w:eastAsia="en-US"/>
              </w:rPr>
              <w:t xml:space="preserve">and online </w:t>
            </w:r>
            <w:r>
              <w:rPr>
                <w:color w:val="auto"/>
                <w:lang w:eastAsia="en-US"/>
              </w:rPr>
              <w:t>resources were utilised and based on the progress of students there is clearly a need to extend this membership so that the resources can c</w:t>
            </w:r>
            <w:r w:rsidR="005F2F66">
              <w:rPr>
                <w:color w:val="auto"/>
                <w:lang w:eastAsia="en-US"/>
              </w:rPr>
              <w:t xml:space="preserve">ontinue to be used during 2021-22. </w:t>
            </w:r>
          </w:p>
          <w:p w14:paraId="639D16DE" w14:textId="5F654B08" w:rsidR="00886967" w:rsidRPr="005F2F66" w:rsidRDefault="00886967" w:rsidP="00886967">
            <w:pPr>
              <w:pStyle w:val="ListParagraph"/>
              <w:numPr>
                <w:ilvl w:val="0"/>
                <w:numId w:val="2"/>
              </w:numPr>
              <w:suppressAutoHyphens w:val="0"/>
              <w:autoSpaceDN/>
              <w:spacing w:before="120"/>
              <w:rPr>
                <w:color w:val="auto"/>
                <w:lang w:eastAsia="en-US"/>
              </w:rPr>
            </w:pPr>
            <w:r w:rsidRPr="005F2F66">
              <w:rPr>
                <w:color w:val="auto"/>
                <w:lang w:eastAsia="en-US"/>
              </w:rPr>
              <w:t>Revision guides were provided for all students</w:t>
            </w:r>
            <w:r w:rsidR="00595769">
              <w:rPr>
                <w:color w:val="auto"/>
                <w:lang w:eastAsia="en-US"/>
              </w:rPr>
              <w:t>,</w:t>
            </w:r>
            <w:r w:rsidRPr="005F2F66">
              <w:rPr>
                <w:color w:val="auto"/>
                <w:lang w:eastAsia="en-US"/>
              </w:rPr>
              <w:t xml:space="preserve"> as well as folders and equipment that enables pro</w:t>
            </w:r>
            <w:r w:rsidR="005F2F66" w:rsidRPr="005F2F66">
              <w:rPr>
                <w:color w:val="auto"/>
                <w:lang w:eastAsia="en-US"/>
              </w:rPr>
              <w:t xml:space="preserve">gression. </w:t>
            </w:r>
          </w:p>
          <w:p w14:paraId="1C832389" w14:textId="77777777" w:rsidR="00886967" w:rsidRPr="00337074" w:rsidRDefault="00886967" w:rsidP="0010241A">
            <w:pPr>
              <w:suppressAutoHyphens w:val="0"/>
              <w:autoSpaceDN/>
              <w:spacing w:before="120"/>
              <w:rPr>
                <w:b/>
                <w:color w:val="auto"/>
                <w:lang w:eastAsia="en-US"/>
              </w:rPr>
            </w:pPr>
            <w:r w:rsidRPr="00337074">
              <w:rPr>
                <w:b/>
                <w:color w:val="auto"/>
                <w:lang w:eastAsia="en-US"/>
              </w:rPr>
              <w:t xml:space="preserve">TABLE G:  </w:t>
            </w:r>
          </w:p>
          <w:tbl>
            <w:tblPr>
              <w:tblW w:w="6720" w:type="dxa"/>
              <w:tblInd w:w="1392" w:type="dxa"/>
              <w:tblCellMar>
                <w:left w:w="10" w:type="dxa"/>
                <w:right w:w="10" w:type="dxa"/>
              </w:tblCellMar>
              <w:tblLook w:val="0000" w:firstRow="0" w:lastRow="0" w:firstColumn="0" w:lastColumn="0" w:noHBand="0" w:noVBand="0"/>
            </w:tblPr>
            <w:tblGrid>
              <w:gridCol w:w="960"/>
              <w:gridCol w:w="960"/>
              <w:gridCol w:w="960"/>
              <w:gridCol w:w="960"/>
              <w:gridCol w:w="960"/>
              <w:gridCol w:w="960"/>
              <w:gridCol w:w="960"/>
            </w:tblGrid>
            <w:tr w:rsidR="00886967" w14:paraId="4180CAF1" w14:textId="77777777" w:rsidTr="005F2F66">
              <w:trPr>
                <w:trHeight w:val="255"/>
              </w:trPr>
              <w:tc>
                <w:tcPr>
                  <w:tcW w:w="960" w:type="dxa"/>
                  <w:shd w:val="clear" w:color="auto" w:fill="auto"/>
                  <w:noWrap/>
                  <w:tcMar>
                    <w:top w:w="0" w:type="dxa"/>
                    <w:left w:w="108" w:type="dxa"/>
                    <w:bottom w:w="0" w:type="dxa"/>
                    <w:right w:w="108" w:type="dxa"/>
                  </w:tcMar>
                  <w:vAlign w:val="center"/>
                </w:tcPr>
                <w:p w14:paraId="6DF6ECEC" w14:textId="77777777" w:rsidR="00886967" w:rsidRDefault="00886967" w:rsidP="0010241A">
                  <w:pPr>
                    <w:suppressAutoHyphens w:val="0"/>
                    <w:spacing w:after="0" w:line="240" w:lineRule="auto"/>
                    <w:rPr>
                      <w:rFonts w:ascii="Times New Roman" w:hAnsi="Times New Roman"/>
                      <w:color w:val="auto"/>
                      <w:sz w:val="20"/>
                      <w:szCs w:val="20"/>
                    </w:rPr>
                  </w:pPr>
                </w:p>
              </w:tc>
              <w:tc>
                <w:tcPr>
                  <w:tcW w:w="960" w:type="dxa"/>
                  <w:shd w:val="clear" w:color="auto" w:fill="auto"/>
                  <w:noWrap/>
                  <w:tcMar>
                    <w:top w:w="0" w:type="dxa"/>
                    <w:left w:w="108" w:type="dxa"/>
                    <w:bottom w:w="0" w:type="dxa"/>
                    <w:right w:w="108" w:type="dxa"/>
                  </w:tcMar>
                  <w:vAlign w:val="center"/>
                </w:tcPr>
                <w:p w14:paraId="34EC15BE"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All</w:t>
                  </w:r>
                </w:p>
              </w:tc>
              <w:tc>
                <w:tcPr>
                  <w:tcW w:w="960" w:type="dxa"/>
                  <w:shd w:val="clear" w:color="auto" w:fill="auto"/>
                  <w:noWrap/>
                  <w:tcMar>
                    <w:top w:w="0" w:type="dxa"/>
                    <w:left w:w="108" w:type="dxa"/>
                    <w:bottom w:w="0" w:type="dxa"/>
                    <w:right w:w="108" w:type="dxa"/>
                  </w:tcMar>
                  <w:vAlign w:val="bottom"/>
                </w:tcPr>
                <w:p w14:paraId="600AE52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w:t>
                  </w:r>
                </w:p>
              </w:tc>
              <w:tc>
                <w:tcPr>
                  <w:tcW w:w="960" w:type="dxa"/>
                  <w:shd w:val="clear" w:color="auto" w:fill="BDD6EE" w:themeFill="accent1" w:themeFillTint="66"/>
                  <w:noWrap/>
                  <w:tcMar>
                    <w:top w:w="0" w:type="dxa"/>
                    <w:left w:w="108" w:type="dxa"/>
                    <w:bottom w:w="0" w:type="dxa"/>
                    <w:right w:w="108" w:type="dxa"/>
                  </w:tcMar>
                  <w:vAlign w:val="center"/>
                </w:tcPr>
                <w:p w14:paraId="1D06D04F"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 xml:space="preserve">PP (DIS) </w:t>
                  </w:r>
                </w:p>
              </w:tc>
              <w:tc>
                <w:tcPr>
                  <w:tcW w:w="960" w:type="dxa"/>
                  <w:shd w:val="clear" w:color="auto" w:fill="auto"/>
                  <w:noWrap/>
                  <w:tcMar>
                    <w:top w:w="0" w:type="dxa"/>
                    <w:left w:w="108" w:type="dxa"/>
                    <w:bottom w:w="0" w:type="dxa"/>
                    <w:right w:w="108" w:type="dxa"/>
                  </w:tcMar>
                  <w:vAlign w:val="center"/>
                </w:tcPr>
                <w:p w14:paraId="29721BD3"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w:t>
                  </w:r>
                </w:p>
              </w:tc>
              <w:tc>
                <w:tcPr>
                  <w:tcW w:w="960" w:type="dxa"/>
                  <w:shd w:val="clear" w:color="auto" w:fill="F7CAAC" w:themeFill="accent2" w:themeFillTint="66"/>
                  <w:noWrap/>
                  <w:tcMar>
                    <w:top w:w="0" w:type="dxa"/>
                    <w:left w:w="108" w:type="dxa"/>
                    <w:bottom w:w="0" w:type="dxa"/>
                    <w:right w:w="108" w:type="dxa"/>
                  </w:tcMar>
                  <w:vAlign w:val="center"/>
                </w:tcPr>
                <w:p w14:paraId="19A23F2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Non PP</w:t>
                  </w:r>
                </w:p>
              </w:tc>
              <w:tc>
                <w:tcPr>
                  <w:tcW w:w="960" w:type="dxa"/>
                  <w:shd w:val="clear" w:color="auto" w:fill="auto"/>
                  <w:noWrap/>
                  <w:tcMar>
                    <w:top w:w="0" w:type="dxa"/>
                    <w:left w:w="108" w:type="dxa"/>
                    <w:bottom w:w="0" w:type="dxa"/>
                    <w:right w:w="108" w:type="dxa"/>
                  </w:tcMar>
                  <w:vAlign w:val="center"/>
                </w:tcPr>
                <w:p w14:paraId="005E6CCE"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w:t>
                  </w:r>
                </w:p>
              </w:tc>
            </w:tr>
            <w:tr w:rsidR="00886967" w14:paraId="4918E523" w14:textId="77777777" w:rsidTr="005F2F66">
              <w:trPr>
                <w:trHeight w:val="255"/>
              </w:trPr>
              <w:tc>
                <w:tcPr>
                  <w:tcW w:w="960" w:type="dxa"/>
                  <w:shd w:val="clear" w:color="auto" w:fill="auto"/>
                  <w:noWrap/>
                  <w:tcMar>
                    <w:top w:w="0" w:type="dxa"/>
                    <w:left w:w="108" w:type="dxa"/>
                    <w:bottom w:w="0" w:type="dxa"/>
                    <w:right w:w="108" w:type="dxa"/>
                  </w:tcMar>
                  <w:vAlign w:val="center"/>
                </w:tcPr>
                <w:p w14:paraId="04F64A8F"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All</w:t>
                  </w:r>
                </w:p>
              </w:tc>
              <w:tc>
                <w:tcPr>
                  <w:tcW w:w="960" w:type="dxa"/>
                  <w:shd w:val="clear" w:color="auto" w:fill="auto"/>
                  <w:noWrap/>
                  <w:tcMar>
                    <w:top w:w="0" w:type="dxa"/>
                    <w:left w:w="108" w:type="dxa"/>
                    <w:bottom w:w="0" w:type="dxa"/>
                    <w:right w:w="108" w:type="dxa"/>
                  </w:tcMar>
                  <w:vAlign w:val="center"/>
                </w:tcPr>
                <w:p w14:paraId="77970AF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123</w:t>
                  </w:r>
                </w:p>
              </w:tc>
              <w:tc>
                <w:tcPr>
                  <w:tcW w:w="960" w:type="dxa"/>
                  <w:shd w:val="clear" w:color="auto" w:fill="auto"/>
                  <w:noWrap/>
                  <w:tcMar>
                    <w:top w:w="0" w:type="dxa"/>
                    <w:left w:w="108" w:type="dxa"/>
                    <w:bottom w:w="0" w:type="dxa"/>
                    <w:right w:w="108" w:type="dxa"/>
                  </w:tcMar>
                  <w:vAlign w:val="bottom"/>
                </w:tcPr>
                <w:p w14:paraId="788D9134" w14:textId="77777777" w:rsidR="00886967" w:rsidRDefault="00886967" w:rsidP="0010241A">
                  <w:pPr>
                    <w:suppressAutoHyphens w:val="0"/>
                    <w:spacing w:after="0" w:line="240" w:lineRule="auto"/>
                    <w:jc w:val="center"/>
                    <w:rPr>
                      <w:rFonts w:cs="Arial"/>
                      <w:color w:val="auto"/>
                      <w:sz w:val="20"/>
                      <w:szCs w:val="20"/>
                    </w:rPr>
                  </w:pPr>
                </w:p>
              </w:tc>
              <w:tc>
                <w:tcPr>
                  <w:tcW w:w="960" w:type="dxa"/>
                  <w:shd w:val="clear" w:color="auto" w:fill="BDD6EE" w:themeFill="accent1" w:themeFillTint="66"/>
                  <w:noWrap/>
                  <w:tcMar>
                    <w:top w:w="0" w:type="dxa"/>
                    <w:left w:w="108" w:type="dxa"/>
                    <w:bottom w:w="0" w:type="dxa"/>
                    <w:right w:w="108" w:type="dxa"/>
                  </w:tcMar>
                  <w:vAlign w:val="center"/>
                </w:tcPr>
                <w:p w14:paraId="6A087D7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61</w:t>
                  </w:r>
                </w:p>
              </w:tc>
              <w:tc>
                <w:tcPr>
                  <w:tcW w:w="960" w:type="dxa"/>
                  <w:shd w:val="clear" w:color="auto" w:fill="auto"/>
                  <w:noWrap/>
                  <w:tcMar>
                    <w:top w:w="0" w:type="dxa"/>
                    <w:left w:w="108" w:type="dxa"/>
                    <w:bottom w:w="0" w:type="dxa"/>
                    <w:right w:w="108" w:type="dxa"/>
                  </w:tcMar>
                  <w:vAlign w:val="bottom"/>
                </w:tcPr>
                <w:p w14:paraId="62C2F927" w14:textId="77777777" w:rsidR="00886967" w:rsidRDefault="00886967" w:rsidP="0010241A">
                  <w:pPr>
                    <w:suppressAutoHyphens w:val="0"/>
                    <w:spacing w:after="0" w:line="240" w:lineRule="auto"/>
                    <w:jc w:val="center"/>
                    <w:rPr>
                      <w:rFonts w:cs="Arial"/>
                      <w:color w:val="auto"/>
                      <w:sz w:val="20"/>
                      <w:szCs w:val="20"/>
                    </w:rPr>
                  </w:pPr>
                </w:p>
              </w:tc>
              <w:tc>
                <w:tcPr>
                  <w:tcW w:w="960" w:type="dxa"/>
                  <w:shd w:val="clear" w:color="auto" w:fill="F7CAAC" w:themeFill="accent2" w:themeFillTint="66"/>
                  <w:noWrap/>
                  <w:tcMar>
                    <w:top w:w="0" w:type="dxa"/>
                    <w:left w:w="108" w:type="dxa"/>
                    <w:bottom w:w="0" w:type="dxa"/>
                    <w:right w:w="108" w:type="dxa"/>
                  </w:tcMar>
                  <w:vAlign w:val="center"/>
                </w:tcPr>
                <w:p w14:paraId="6CDD37B7"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62</w:t>
                  </w:r>
                </w:p>
              </w:tc>
              <w:tc>
                <w:tcPr>
                  <w:tcW w:w="960" w:type="dxa"/>
                  <w:shd w:val="clear" w:color="auto" w:fill="auto"/>
                  <w:noWrap/>
                  <w:tcMar>
                    <w:top w:w="0" w:type="dxa"/>
                    <w:left w:w="108" w:type="dxa"/>
                    <w:bottom w:w="0" w:type="dxa"/>
                    <w:right w:w="108" w:type="dxa"/>
                  </w:tcMar>
                  <w:vAlign w:val="bottom"/>
                </w:tcPr>
                <w:p w14:paraId="7DAF4C8E" w14:textId="77777777" w:rsidR="00886967" w:rsidRDefault="00886967" w:rsidP="0010241A">
                  <w:pPr>
                    <w:suppressAutoHyphens w:val="0"/>
                    <w:spacing w:after="0" w:line="240" w:lineRule="auto"/>
                    <w:jc w:val="center"/>
                    <w:rPr>
                      <w:rFonts w:cs="Arial"/>
                      <w:color w:val="auto"/>
                      <w:sz w:val="20"/>
                      <w:szCs w:val="20"/>
                    </w:rPr>
                  </w:pPr>
                </w:p>
              </w:tc>
            </w:tr>
            <w:tr w:rsidR="00886967" w:rsidRPr="005F2F66" w14:paraId="0FB64BC0" w14:textId="77777777" w:rsidTr="005F2F66">
              <w:trPr>
                <w:trHeight w:val="255"/>
              </w:trPr>
              <w:tc>
                <w:tcPr>
                  <w:tcW w:w="960" w:type="dxa"/>
                  <w:shd w:val="clear" w:color="auto" w:fill="auto"/>
                  <w:noWrap/>
                  <w:tcMar>
                    <w:top w:w="0" w:type="dxa"/>
                    <w:left w:w="108" w:type="dxa"/>
                    <w:bottom w:w="0" w:type="dxa"/>
                    <w:right w:w="108" w:type="dxa"/>
                  </w:tcMar>
                  <w:vAlign w:val="center"/>
                </w:tcPr>
                <w:p w14:paraId="5B1B4BCD"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High</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37DA61"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29</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C18C17"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23.58</w:t>
                  </w:r>
                </w:p>
              </w:tc>
              <w:tc>
                <w:tcPr>
                  <w:tcW w:w="960" w:type="dxa"/>
                  <w:tcBorders>
                    <w:top w:val="single" w:sz="4" w:space="0" w:color="000000"/>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1A280176"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8</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CCBAB3"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13.11</w:t>
                  </w:r>
                </w:p>
              </w:tc>
              <w:tc>
                <w:tcPr>
                  <w:tcW w:w="960" w:type="dxa"/>
                  <w:tcBorders>
                    <w:top w:val="single" w:sz="4" w:space="0" w:color="000000"/>
                    <w:bottom w:val="single" w:sz="4" w:space="0" w:color="000000"/>
                    <w:right w:val="single" w:sz="4" w:space="0" w:color="000000"/>
                  </w:tcBorders>
                  <w:shd w:val="clear" w:color="auto" w:fill="F7CAAC" w:themeFill="accent2" w:themeFillTint="66"/>
                  <w:noWrap/>
                  <w:tcMar>
                    <w:top w:w="0" w:type="dxa"/>
                    <w:left w:w="108" w:type="dxa"/>
                    <w:bottom w:w="0" w:type="dxa"/>
                    <w:right w:w="108" w:type="dxa"/>
                  </w:tcMar>
                  <w:vAlign w:val="center"/>
                </w:tcPr>
                <w:p w14:paraId="48232CA9"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21</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751BC0"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33.87</w:t>
                  </w:r>
                </w:p>
              </w:tc>
            </w:tr>
            <w:tr w:rsidR="00886967" w:rsidRPr="005F2F66" w14:paraId="37D75166" w14:textId="77777777" w:rsidTr="005F2F66">
              <w:trPr>
                <w:trHeight w:val="255"/>
              </w:trPr>
              <w:tc>
                <w:tcPr>
                  <w:tcW w:w="960" w:type="dxa"/>
                  <w:shd w:val="clear" w:color="auto" w:fill="auto"/>
                  <w:noWrap/>
                  <w:tcMar>
                    <w:top w:w="0" w:type="dxa"/>
                    <w:left w:w="108" w:type="dxa"/>
                    <w:bottom w:w="0" w:type="dxa"/>
                    <w:right w:w="108" w:type="dxa"/>
                  </w:tcMar>
                  <w:vAlign w:val="center"/>
                </w:tcPr>
                <w:p w14:paraId="5F84C4AA"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Middle</w:t>
                  </w:r>
                </w:p>
              </w:tc>
              <w:tc>
                <w:tcPr>
                  <w:tcW w:w="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798547"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56</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FAAE43"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45.53</w:t>
                  </w:r>
                </w:p>
              </w:tc>
              <w:tc>
                <w:tcPr>
                  <w:tcW w:w="960" w:type="dxa"/>
                  <w:tcBorders>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16FC2665"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32</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59B34D"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52.46</w:t>
                  </w:r>
                </w:p>
              </w:tc>
              <w:tc>
                <w:tcPr>
                  <w:tcW w:w="960" w:type="dxa"/>
                  <w:tcBorders>
                    <w:bottom w:val="single" w:sz="4" w:space="0" w:color="000000"/>
                    <w:right w:val="single" w:sz="4" w:space="0" w:color="000000"/>
                  </w:tcBorders>
                  <w:shd w:val="clear" w:color="auto" w:fill="F7CAAC" w:themeFill="accent2" w:themeFillTint="66"/>
                  <w:noWrap/>
                  <w:tcMar>
                    <w:top w:w="0" w:type="dxa"/>
                    <w:left w:w="108" w:type="dxa"/>
                    <w:bottom w:w="0" w:type="dxa"/>
                    <w:right w:w="108" w:type="dxa"/>
                  </w:tcMar>
                  <w:vAlign w:val="center"/>
                </w:tcPr>
                <w:p w14:paraId="26407D2C"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24</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0EBF8D"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38.71</w:t>
                  </w:r>
                </w:p>
              </w:tc>
            </w:tr>
            <w:tr w:rsidR="00886967" w:rsidRPr="005F2F66" w14:paraId="5216B8BA" w14:textId="77777777" w:rsidTr="005F2F66">
              <w:trPr>
                <w:trHeight w:val="255"/>
              </w:trPr>
              <w:tc>
                <w:tcPr>
                  <w:tcW w:w="960" w:type="dxa"/>
                  <w:shd w:val="clear" w:color="auto" w:fill="auto"/>
                  <w:noWrap/>
                  <w:tcMar>
                    <w:top w:w="0" w:type="dxa"/>
                    <w:left w:w="108" w:type="dxa"/>
                    <w:bottom w:w="0" w:type="dxa"/>
                    <w:right w:w="108" w:type="dxa"/>
                  </w:tcMar>
                  <w:vAlign w:val="center"/>
                </w:tcPr>
                <w:p w14:paraId="5A5A9357"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Low</w:t>
                  </w:r>
                </w:p>
              </w:tc>
              <w:tc>
                <w:tcPr>
                  <w:tcW w:w="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D34FEA"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27</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AD9FA5"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21.95</w:t>
                  </w:r>
                </w:p>
              </w:tc>
              <w:tc>
                <w:tcPr>
                  <w:tcW w:w="960" w:type="dxa"/>
                  <w:tcBorders>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47D25C66"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15</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2F9EA0"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24.59</w:t>
                  </w:r>
                </w:p>
              </w:tc>
              <w:tc>
                <w:tcPr>
                  <w:tcW w:w="960" w:type="dxa"/>
                  <w:tcBorders>
                    <w:bottom w:val="single" w:sz="4" w:space="0" w:color="000000"/>
                    <w:right w:val="single" w:sz="4" w:space="0" w:color="000000"/>
                  </w:tcBorders>
                  <w:shd w:val="clear" w:color="auto" w:fill="F7CAAC" w:themeFill="accent2" w:themeFillTint="66"/>
                  <w:noWrap/>
                  <w:tcMar>
                    <w:top w:w="0" w:type="dxa"/>
                    <w:left w:w="108" w:type="dxa"/>
                    <w:bottom w:w="0" w:type="dxa"/>
                    <w:right w:w="108" w:type="dxa"/>
                  </w:tcMar>
                  <w:vAlign w:val="center"/>
                </w:tcPr>
                <w:p w14:paraId="79E55DB4"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12</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48ACB6"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19.35</w:t>
                  </w:r>
                </w:p>
              </w:tc>
            </w:tr>
            <w:tr w:rsidR="00886967" w:rsidRPr="005F2F66" w14:paraId="19DFED3B" w14:textId="77777777" w:rsidTr="005F2F66">
              <w:trPr>
                <w:trHeight w:val="255"/>
              </w:trPr>
              <w:tc>
                <w:tcPr>
                  <w:tcW w:w="960" w:type="dxa"/>
                  <w:shd w:val="clear" w:color="auto" w:fill="auto"/>
                  <w:noWrap/>
                  <w:tcMar>
                    <w:top w:w="0" w:type="dxa"/>
                    <w:left w:w="108" w:type="dxa"/>
                    <w:bottom w:w="0" w:type="dxa"/>
                    <w:right w:w="108" w:type="dxa"/>
                  </w:tcMar>
                  <w:vAlign w:val="center"/>
                </w:tcPr>
                <w:p w14:paraId="4CB9A617"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Unset</w:t>
                  </w:r>
                </w:p>
              </w:tc>
              <w:tc>
                <w:tcPr>
                  <w:tcW w:w="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259720"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11</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236724"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8.94</w:t>
                  </w:r>
                </w:p>
              </w:tc>
              <w:tc>
                <w:tcPr>
                  <w:tcW w:w="960" w:type="dxa"/>
                  <w:tcBorders>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2338929E"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6</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5D7644"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9.84</w:t>
                  </w:r>
                </w:p>
              </w:tc>
              <w:tc>
                <w:tcPr>
                  <w:tcW w:w="960" w:type="dxa"/>
                  <w:tcBorders>
                    <w:bottom w:val="single" w:sz="4" w:space="0" w:color="000000"/>
                    <w:right w:val="single" w:sz="4" w:space="0" w:color="000000"/>
                  </w:tcBorders>
                  <w:shd w:val="clear" w:color="auto" w:fill="F7CAAC" w:themeFill="accent2" w:themeFillTint="66"/>
                  <w:noWrap/>
                  <w:tcMar>
                    <w:top w:w="0" w:type="dxa"/>
                    <w:left w:w="108" w:type="dxa"/>
                    <w:bottom w:w="0" w:type="dxa"/>
                    <w:right w:w="108" w:type="dxa"/>
                  </w:tcMar>
                  <w:vAlign w:val="center"/>
                </w:tcPr>
                <w:p w14:paraId="388EE865"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5</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762E6D" w14:textId="77777777" w:rsidR="00886967" w:rsidRPr="005F2F66" w:rsidRDefault="00886967" w:rsidP="0010241A">
                  <w:pPr>
                    <w:suppressAutoHyphens w:val="0"/>
                    <w:spacing w:after="0" w:line="240" w:lineRule="auto"/>
                    <w:jc w:val="center"/>
                    <w:rPr>
                      <w:rFonts w:cs="Arial"/>
                      <w:color w:val="auto"/>
                      <w:sz w:val="20"/>
                      <w:szCs w:val="20"/>
                    </w:rPr>
                  </w:pPr>
                  <w:r w:rsidRPr="005F2F66">
                    <w:rPr>
                      <w:rFonts w:cs="Arial"/>
                      <w:color w:val="auto"/>
                      <w:sz w:val="20"/>
                      <w:szCs w:val="20"/>
                    </w:rPr>
                    <w:t>8.06</w:t>
                  </w:r>
                </w:p>
              </w:tc>
            </w:tr>
          </w:tbl>
          <w:p w14:paraId="3E9CBDE9" w14:textId="77777777" w:rsidR="00886967" w:rsidRDefault="00886967" w:rsidP="005F2F66">
            <w:pPr>
              <w:suppressAutoHyphens w:val="0"/>
              <w:autoSpaceDN/>
              <w:spacing w:before="120"/>
              <w:rPr>
                <w:color w:val="auto"/>
                <w:highlight w:val="red"/>
                <w:lang w:eastAsia="en-US"/>
              </w:rPr>
            </w:pPr>
          </w:p>
          <w:p w14:paraId="29A7C7EA" w14:textId="00DA6EBD" w:rsidR="00595769" w:rsidRDefault="005F2F66" w:rsidP="00A93A87">
            <w:pPr>
              <w:pStyle w:val="ListParagraph"/>
              <w:numPr>
                <w:ilvl w:val="0"/>
                <w:numId w:val="2"/>
              </w:numPr>
              <w:suppressAutoHyphens w:val="0"/>
              <w:autoSpaceDN/>
              <w:spacing w:before="120"/>
              <w:rPr>
                <w:color w:val="auto"/>
                <w:lang w:eastAsia="en-US"/>
              </w:rPr>
            </w:pPr>
            <w:r w:rsidRPr="005F2F66">
              <w:rPr>
                <w:color w:val="auto"/>
                <w:lang w:eastAsia="en-US"/>
              </w:rPr>
              <w:lastRenderedPageBreak/>
              <w:t xml:space="preserve">Table G indicates the breakdown of </w:t>
            </w:r>
            <w:r w:rsidR="00595769">
              <w:rPr>
                <w:color w:val="auto"/>
                <w:lang w:eastAsia="en-US"/>
              </w:rPr>
              <w:t>Disadvantaged</w:t>
            </w:r>
            <w:r w:rsidRPr="005F2F66">
              <w:rPr>
                <w:color w:val="auto"/>
                <w:lang w:eastAsia="en-US"/>
              </w:rPr>
              <w:t xml:space="preserve"> and Non</w:t>
            </w:r>
            <w:r w:rsidR="00595769">
              <w:rPr>
                <w:color w:val="auto"/>
                <w:lang w:eastAsia="en-US"/>
              </w:rPr>
              <w:t>-Disadvantaged</w:t>
            </w:r>
            <w:r w:rsidRPr="005F2F66">
              <w:rPr>
                <w:color w:val="auto"/>
                <w:lang w:eastAsia="en-US"/>
              </w:rPr>
              <w:t xml:space="preserve"> students</w:t>
            </w:r>
            <w:r>
              <w:rPr>
                <w:color w:val="auto"/>
                <w:lang w:eastAsia="en-US"/>
              </w:rPr>
              <w:t xml:space="preserve">.  </w:t>
            </w:r>
          </w:p>
          <w:p w14:paraId="1E2E6671" w14:textId="56D6EEF3" w:rsidR="00A93A87" w:rsidRDefault="005F2F66" w:rsidP="00A93A87">
            <w:pPr>
              <w:pStyle w:val="ListParagraph"/>
              <w:numPr>
                <w:ilvl w:val="0"/>
                <w:numId w:val="2"/>
              </w:numPr>
              <w:suppressAutoHyphens w:val="0"/>
              <w:autoSpaceDN/>
              <w:spacing w:before="120"/>
              <w:rPr>
                <w:color w:val="auto"/>
                <w:lang w:eastAsia="en-US"/>
              </w:rPr>
            </w:pPr>
            <w:r>
              <w:rPr>
                <w:color w:val="auto"/>
                <w:lang w:eastAsia="en-US"/>
              </w:rPr>
              <w:t>In 2020-21</w:t>
            </w:r>
            <w:r w:rsidR="00595769">
              <w:rPr>
                <w:color w:val="auto"/>
                <w:lang w:eastAsia="en-US"/>
              </w:rPr>
              <w:t>,</w:t>
            </w:r>
            <w:r>
              <w:rPr>
                <w:color w:val="auto"/>
                <w:lang w:eastAsia="en-US"/>
              </w:rPr>
              <w:t xml:space="preserve"> there were slightly more students in the middle to lower attainment bands.  We are proud of the fact that all attainment bands were well above nat</w:t>
            </w:r>
            <w:r w:rsidR="00A93A87">
              <w:rPr>
                <w:color w:val="auto"/>
                <w:lang w:eastAsia="en-US"/>
              </w:rPr>
              <w:t xml:space="preserve">ional average for achievement as illustrated in the tables below: </w:t>
            </w:r>
          </w:p>
          <w:p w14:paraId="751CCBDF" w14:textId="77777777" w:rsidR="00A93A87" w:rsidRDefault="00A93A87" w:rsidP="00A93A87">
            <w:pPr>
              <w:suppressAutoHyphens w:val="0"/>
              <w:autoSpaceDN/>
              <w:spacing w:before="120"/>
              <w:rPr>
                <w:color w:val="auto"/>
                <w:lang w:eastAsia="en-US"/>
              </w:rPr>
            </w:pPr>
            <w:r>
              <w:rPr>
                <w:noProof/>
              </w:rPr>
              <w:drawing>
                <wp:inline distT="0" distB="0" distL="0" distR="0" wp14:anchorId="2C961D7D" wp14:editId="15F60168">
                  <wp:extent cx="5731510" cy="9251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925195"/>
                          </a:xfrm>
                          <a:prstGeom prst="rect">
                            <a:avLst/>
                          </a:prstGeom>
                        </pic:spPr>
                      </pic:pic>
                    </a:graphicData>
                  </a:graphic>
                </wp:inline>
              </w:drawing>
            </w:r>
          </w:p>
          <w:p w14:paraId="6CC62D82" w14:textId="77777777" w:rsidR="00A93A87" w:rsidRDefault="00A93A87" w:rsidP="00A93A87">
            <w:pPr>
              <w:suppressAutoHyphens w:val="0"/>
              <w:autoSpaceDN/>
              <w:spacing w:before="120"/>
              <w:rPr>
                <w:color w:val="auto"/>
                <w:lang w:eastAsia="en-US"/>
              </w:rPr>
            </w:pPr>
          </w:p>
          <w:p w14:paraId="09CCCC0A" w14:textId="397A9A10" w:rsidR="00886967" w:rsidRPr="008B15FF" w:rsidRDefault="00A93A87" w:rsidP="00A93A87">
            <w:pPr>
              <w:suppressAutoHyphens w:val="0"/>
              <w:autoSpaceDN/>
              <w:spacing w:before="120"/>
              <w:rPr>
                <w:b/>
                <w:color w:val="auto"/>
                <w:lang w:eastAsia="en-US"/>
              </w:rPr>
            </w:pPr>
            <w:r>
              <w:rPr>
                <w:b/>
                <w:color w:val="auto"/>
                <w:lang w:eastAsia="en-US"/>
              </w:rPr>
              <w:t xml:space="preserve">Strategy outcomes other than the performance of </w:t>
            </w:r>
            <w:r w:rsidR="00595769">
              <w:rPr>
                <w:b/>
                <w:color w:val="auto"/>
                <w:lang w:eastAsia="en-US"/>
              </w:rPr>
              <w:t>Y</w:t>
            </w:r>
            <w:r>
              <w:rPr>
                <w:b/>
                <w:color w:val="auto"/>
                <w:lang w:eastAsia="en-US"/>
              </w:rPr>
              <w:t>ear 11 2020-21</w:t>
            </w:r>
            <w:r w:rsidR="00886967" w:rsidRPr="008B15FF">
              <w:rPr>
                <w:b/>
                <w:color w:val="auto"/>
                <w:lang w:eastAsia="en-US"/>
              </w:rPr>
              <w:t xml:space="preserve">. </w:t>
            </w:r>
          </w:p>
        </w:tc>
      </w:tr>
      <w:tr w:rsidR="00886967" w14:paraId="06A4F8B1" w14:textId="77777777" w:rsidTr="0010241A">
        <w:tblPrEx>
          <w:tblLook w:val="0000" w:firstRow="0" w:lastRow="0" w:firstColumn="0" w:lastColumn="0" w:noHBand="0" w:noVBand="0"/>
        </w:tblPrEx>
        <w:trPr>
          <w:gridAfter w:val="1"/>
          <w:wAfter w:w="9" w:type="dxa"/>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195C" w14:textId="2BD33C65" w:rsidR="00886967" w:rsidRPr="003B468E" w:rsidRDefault="00886967" w:rsidP="00886967">
            <w:pPr>
              <w:pStyle w:val="TableRow"/>
              <w:numPr>
                <w:ilvl w:val="0"/>
                <w:numId w:val="3"/>
              </w:numPr>
              <w:rPr>
                <w:color w:val="auto"/>
                <w:sz w:val="22"/>
                <w:szCs w:val="22"/>
              </w:rPr>
            </w:pPr>
            <w:r w:rsidRPr="003B468E">
              <w:rPr>
                <w:rStyle w:val="PlaceholderText"/>
                <w:color w:val="auto"/>
                <w:sz w:val="22"/>
                <w:szCs w:val="22"/>
              </w:rPr>
              <w:lastRenderedPageBreak/>
              <w:t xml:space="preserve">Increased literacy levels for Year 7 and Year 8 </w:t>
            </w:r>
            <w:r w:rsidR="00595769">
              <w:rPr>
                <w:rStyle w:val="PlaceholderText"/>
                <w:color w:val="auto"/>
                <w:sz w:val="22"/>
                <w:szCs w:val="22"/>
              </w:rPr>
              <w:t>Disadvantaged</w:t>
            </w:r>
            <w:r w:rsidRPr="003B468E">
              <w:rPr>
                <w:rStyle w:val="PlaceholderText"/>
                <w:color w:val="auto"/>
                <w:sz w:val="22"/>
                <w:szCs w:val="22"/>
              </w:rPr>
              <w:t xml:space="preserve"> </w:t>
            </w:r>
            <w:r w:rsidR="00595769">
              <w:rPr>
                <w:rStyle w:val="PlaceholderText"/>
                <w:color w:val="auto"/>
                <w:sz w:val="22"/>
                <w:szCs w:val="22"/>
              </w:rPr>
              <w:t>S</w:t>
            </w:r>
            <w:r w:rsidRPr="003B468E">
              <w:rPr>
                <w:rStyle w:val="PlaceholderText"/>
                <w:color w:val="auto"/>
                <w:sz w:val="22"/>
                <w:szCs w:val="22"/>
              </w:rPr>
              <w:t xml:space="preserve">tudents. </w:t>
            </w:r>
            <w:r w:rsidR="000D011A" w:rsidRPr="003B468E">
              <w:rPr>
                <w:rStyle w:val="PlaceholderText"/>
                <w:color w:val="auto"/>
                <w:sz w:val="22"/>
                <w:szCs w:val="22"/>
              </w:rPr>
              <w:t xml:space="preserve">(Analysis of Reading Ages has been effected by Covid 19).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FCFC" w14:textId="77777777" w:rsidR="00595769" w:rsidRDefault="00A93A87" w:rsidP="0010241A">
            <w:pPr>
              <w:pStyle w:val="TableRow"/>
              <w:ind w:left="0"/>
              <w:rPr>
                <w:sz w:val="22"/>
              </w:rPr>
            </w:pPr>
            <w:r w:rsidRPr="003B468E">
              <w:rPr>
                <w:sz w:val="22"/>
              </w:rPr>
              <w:t xml:space="preserve">The analysis of reading ages </w:t>
            </w:r>
            <w:r w:rsidR="003B468E" w:rsidRPr="003B468E">
              <w:rPr>
                <w:sz w:val="22"/>
              </w:rPr>
              <w:t xml:space="preserve">across the school </w:t>
            </w:r>
            <w:r w:rsidRPr="003B468E">
              <w:rPr>
                <w:sz w:val="22"/>
              </w:rPr>
              <w:t xml:space="preserve">demonstrates that students did make progress compared to their chronological reading age.  </w:t>
            </w:r>
          </w:p>
          <w:p w14:paraId="3E272037" w14:textId="77777777" w:rsidR="00595769" w:rsidRDefault="00A93A87" w:rsidP="0010241A">
            <w:pPr>
              <w:pStyle w:val="TableRow"/>
              <w:ind w:left="0"/>
              <w:rPr>
                <w:sz w:val="22"/>
              </w:rPr>
            </w:pPr>
            <w:r w:rsidRPr="003B468E">
              <w:rPr>
                <w:sz w:val="22"/>
              </w:rPr>
              <w:t xml:space="preserve">In all cases, more than two years’ progress was made over a two-year period for </w:t>
            </w:r>
            <w:r w:rsidR="00595769">
              <w:rPr>
                <w:sz w:val="22"/>
              </w:rPr>
              <w:t>Y</w:t>
            </w:r>
            <w:r w:rsidRPr="003B468E">
              <w:rPr>
                <w:sz w:val="22"/>
              </w:rPr>
              <w:t xml:space="preserve">ears 9, 10 and 11 based on tests completed in school.  </w:t>
            </w:r>
          </w:p>
          <w:p w14:paraId="1F368BE4" w14:textId="77777777" w:rsidR="00595769" w:rsidRDefault="00A93A87" w:rsidP="0010241A">
            <w:pPr>
              <w:pStyle w:val="TableRow"/>
              <w:ind w:left="0"/>
              <w:rPr>
                <w:sz w:val="22"/>
              </w:rPr>
            </w:pPr>
            <w:r w:rsidRPr="003B468E">
              <w:rPr>
                <w:sz w:val="22"/>
              </w:rPr>
              <w:t xml:space="preserve">In some cases, Disadvantaged Students made more progress than that of Non-Disadvantaged Students. This was particularly the case for Year 10 and Year 11 students.  </w:t>
            </w:r>
          </w:p>
          <w:p w14:paraId="48B0A4EE" w14:textId="75440EF7" w:rsidR="00886967" w:rsidRPr="003B468E" w:rsidRDefault="003B468E" w:rsidP="0010241A">
            <w:pPr>
              <w:pStyle w:val="TableRow"/>
              <w:ind w:left="0"/>
              <w:rPr>
                <w:sz w:val="22"/>
              </w:rPr>
            </w:pPr>
            <w:r w:rsidRPr="003B468E">
              <w:rPr>
                <w:sz w:val="22"/>
              </w:rPr>
              <w:t>Part of the strategy, over recent years has been to improve reading ages. Reading age analysis does</w:t>
            </w:r>
            <w:r w:rsidR="00595769">
              <w:rPr>
                <w:sz w:val="22"/>
              </w:rPr>
              <w:t>,</w:t>
            </w:r>
            <w:r w:rsidRPr="003B468E">
              <w:rPr>
                <w:sz w:val="22"/>
              </w:rPr>
              <w:t xml:space="preserve"> however, continue to demonstrate a need to accelerate the reading ages so that all students have a reading age equivalent to their chronological reading age.  </w:t>
            </w:r>
          </w:p>
          <w:p w14:paraId="3BB41561" w14:textId="77777777" w:rsidR="00886967" w:rsidRDefault="00886967" w:rsidP="0010241A">
            <w:pPr>
              <w:pStyle w:val="TableRow"/>
              <w:ind w:left="0"/>
            </w:pPr>
          </w:p>
        </w:tc>
      </w:tr>
      <w:tr w:rsidR="00886967" w14:paraId="23309076" w14:textId="77777777" w:rsidTr="0010241A">
        <w:tblPrEx>
          <w:tblLook w:val="0000" w:firstRow="0" w:lastRow="0" w:firstColumn="0" w:lastColumn="0" w:noHBand="0" w:noVBand="0"/>
        </w:tblPrEx>
        <w:trPr>
          <w:gridAfter w:val="1"/>
          <w:wAfter w:w="9" w:type="dxa"/>
        </w:trPr>
        <w:tc>
          <w:tcPr>
            <w:tcW w:w="9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5899" w14:textId="77777777" w:rsidR="00886967" w:rsidRDefault="00886967" w:rsidP="0010241A">
            <w:pPr>
              <w:pStyle w:val="TableRow"/>
              <w:rPr>
                <w:rStyle w:val="PlaceholderText"/>
                <w:b/>
                <w:color w:val="auto"/>
                <w:u w:val="single"/>
              </w:rPr>
            </w:pPr>
            <w:r w:rsidRPr="00863677">
              <w:rPr>
                <w:rStyle w:val="PlaceholderText"/>
                <w:b/>
                <w:color w:val="auto"/>
                <w:u w:val="single"/>
              </w:rPr>
              <w:t xml:space="preserve">TABLE I </w:t>
            </w:r>
            <w:r w:rsidR="003B468E">
              <w:rPr>
                <w:rStyle w:val="PlaceholderText"/>
                <w:b/>
                <w:color w:val="auto"/>
                <w:u w:val="single"/>
              </w:rPr>
              <w:t xml:space="preserve">– Reading Age figures. </w:t>
            </w:r>
          </w:p>
          <w:p w14:paraId="5684A532" w14:textId="77777777" w:rsidR="00886967" w:rsidRPr="00863677" w:rsidRDefault="00886967" w:rsidP="0010241A">
            <w:pPr>
              <w:pStyle w:val="TableRow"/>
              <w:rPr>
                <w:rStyle w:val="PlaceholderText"/>
                <w:b/>
                <w:color w:val="auto"/>
                <w:u w:val="single"/>
              </w:rPr>
            </w:pPr>
          </w:p>
          <w:tbl>
            <w:tblPr>
              <w:tblW w:w="9096" w:type="dxa"/>
              <w:tblCellMar>
                <w:left w:w="10" w:type="dxa"/>
                <w:right w:w="10" w:type="dxa"/>
              </w:tblCellMar>
              <w:tblLook w:val="0000" w:firstRow="0" w:lastRow="0" w:firstColumn="0" w:lastColumn="0" w:noHBand="0" w:noVBand="0"/>
            </w:tblPr>
            <w:tblGrid>
              <w:gridCol w:w="2827"/>
              <w:gridCol w:w="2100"/>
              <w:gridCol w:w="1895"/>
              <w:gridCol w:w="2274"/>
            </w:tblGrid>
            <w:tr w:rsidR="00886967" w14:paraId="72F410DA" w14:textId="77777777" w:rsidTr="0010241A">
              <w:trPr>
                <w:trHeight w:val="261"/>
              </w:trPr>
              <w:tc>
                <w:tcPr>
                  <w:tcW w:w="2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C2512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From Yr 7 - Yr9</w:t>
                  </w:r>
                </w:p>
              </w:tc>
              <w:tc>
                <w:tcPr>
                  <w:tcW w:w="210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B0E5F0"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11-12 Yrs</w:t>
                  </w:r>
                </w:p>
              </w:tc>
              <w:tc>
                <w:tcPr>
                  <w:tcW w:w="189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722A0B"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13-14 Yrs</w:t>
                  </w:r>
                </w:p>
              </w:tc>
              <w:tc>
                <w:tcPr>
                  <w:tcW w:w="22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C3933B"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Increase</w:t>
                  </w:r>
                </w:p>
              </w:tc>
            </w:tr>
            <w:tr w:rsidR="00886967" w14:paraId="547E4646"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3773E8"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 xml:space="preserve">  All</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6656B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9.26</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1A40C4"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10.95</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336A35"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2.10</w:t>
                  </w:r>
                </w:p>
              </w:tc>
            </w:tr>
            <w:tr w:rsidR="00886967" w14:paraId="18DD2BBD"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5ACF2A"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Non PP</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CA28AB"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9.51</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86FA9E"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11.28</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4958B8"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2.13</w:t>
                  </w:r>
                </w:p>
              </w:tc>
            </w:tr>
            <w:tr w:rsidR="00886967" w14:paraId="5A9B9B58"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E3C188"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PP</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847EB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9.04</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FF0023"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10.67</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B512B6"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2.07</w:t>
                  </w:r>
                </w:p>
              </w:tc>
            </w:tr>
            <w:tr w:rsidR="00886967" w14:paraId="23EC21F0" w14:textId="77777777" w:rsidTr="0010241A">
              <w:trPr>
                <w:trHeight w:val="261"/>
              </w:trPr>
              <w:tc>
                <w:tcPr>
                  <w:tcW w:w="2827" w:type="dxa"/>
                  <w:shd w:val="clear" w:color="auto" w:fill="auto"/>
                  <w:noWrap/>
                  <w:tcMar>
                    <w:top w:w="0" w:type="dxa"/>
                    <w:left w:w="108" w:type="dxa"/>
                    <w:bottom w:w="0" w:type="dxa"/>
                    <w:right w:w="108" w:type="dxa"/>
                  </w:tcMar>
                  <w:vAlign w:val="bottom"/>
                </w:tcPr>
                <w:p w14:paraId="1EA366E6" w14:textId="77777777" w:rsidR="00886967" w:rsidRDefault="00886967" w:rsidP="0010241A">
                  <w:pPr>
                    <w:suppressAutoHyphens w:val="0"/>
                    <w:spacing w:after="0" w:line="240" w:lineRule="auto"/>
                    <w:jc w:val="center"/>
                    <w:rPr>
                      <w:rFonts w:cs="Arial"/>
                      <w:color w:val="auto"/>
                      <w:sz w:val="20"/>
                      <w:szCs w:val="20"/>
                    </w:rPr>
                  </w:pPr>
                </w:p>
              </w:tc>
              <w:tc>
                <w:tcPr>
                  <w:tcW w:w="2100" w:type="dxa"/>
                  <w:shd w:val="clear" w:color="auto" w:fill="auto"/>
                  <w:noWrap/>
                  <w:tcMar>
                    <w:top w:w="0" w:type="dxa"/>
                    <w:left w:w="108" w:type="dxa"/>
                    <w:bottom w:w="0" w:type="dxa"/>
                    <w:right w:w="108" w:type="dxa"/>
                  </w:tcMar>
                  <w:vAlign w:val="bottom"/>
                </w:tcPr>
                <w:p w14:paraId="7DAF368E"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1895" w:type="dxa"/>
                  <w:shd w:val="clear" w:color="auto" w:fill="auto"/>
                  <w:noWrap/>
                  <w:tcMar>
                    <w:top w:w="0" w:type="dxa"/>
                    <w:left w:w="108" w:type="dxa"/>
                    <w:bottom w:w="0" w:type="dxa"/>
                    <w:right w:w="108" w:type="dxa"/>
                  </w:tcMar>
                  <w:vAlign w:val="bottom"/>
                </w:tcPr>
                <w:p w14:paraId="45CCDDD9"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274" w:type="dxa"/>
                  <w:shd w:val="clear" w:color="auto" w:fill="auto"/>
                  <w:noWrap/>
                  <w:tcMar>
                    <w:top w:w="0" w:type="dxa"/>
                    <w:left w:w="108" w:type="dxa"/>
                    <w:bottom w:w="0" w:type="dxa"/>
                    <w:right w:w="108" w:type="dxa"/>
                  </w:tcMar>
                  <w:vAlign w:val="bottom"/>
                </w:tcPr>
                <w:p w14:paraId="5F6795D6" w14:textId="77777777" w:rsidR="00886967" w:rsidRDefault="00886967" w:rsidP="0010241A">
                  <w:pPr>
                    <w:suppressAutoHyphens w:val="0"/>
                    <w:spacing w:after="0" w:line="240" w:lineRule="auto"/>
                    <w:jc w:val="center"/>
                    <w:rPr>
                      <w:rFonts w:ascii="Times New Roman" w:hAnsi="Times New Roman"/>
                      <w:color w:val="auto"/>
                      <w:sz w:val="20"/>
                      <w:szCs w:val="20"/>
                    </w:rPr>
                  </w:pPr>
                </w:p>
              </w:tc>
            </w:tr>
            <w:tr w:rsidR="00886967" w14:paraId="743F8347" w14:textId="77777777" w:rsidTr="0010241A">
              <w:trPr>
                <w:trHeight w:val="261"/>
              </w:trPr>
              <w:tc>
                <w:tcPr>
                  <w:tcW w:w="2827" w:type="dxa"/>
                  <w:shd w:val="clear" w:color="auto" w:fill="auto"/>
                  <w:noWrap/>
                  <w:tcMar>
                    <w:top w:w="0" w:type="dxa"/>
                    <w:left w:w="108" w:type="dxa"/>
                    <w:bottom w:w="0" w:type="dxa"/>
                    <w:right w:w="108" w:type="dxa"/>
                  </w:tcMar>
                  <w:vAlign w:val="bottom"/>
                </w:tcPr>
                <w:p w14:paraId="34DEBCF2"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100" w:type="dxa"/>
                  <w:shd w:val="clear" w:color="auto" w:fill="auto"/>
                  <w:noWrap/>
                  <w:tcMar>
                    <w:top w:w="0" w:type="dxa"/>
                    <w:left w:w="108" w:type="dxa"/>
                    <w:bottom w:w="0" w:type="dxa"/>
                    <w:right w:w="108" w:type="dxa"/>
                  </w:tcMar>
                  <w:vAlign w:val="bottom"/>
                </w:tcPr>
                <w:p w14:paraId="600351B3"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1895" w:type="dxa"/>
                  <w:shd w:val="clear" w:color="auto" w:fill="auto"/>
                  <w:noWrap/>
                  <w:tcMar>
                    <w:top w:w="0" w:type="dxa"/>
                    <w:left w:w="108" w:type="dxa"/>
                    <w:bottom w:w="0" w:type="dxa"/>
                    <w:right w:w="108" w:type="dxa"/>
                  </w:tcMar>
                  <w:vAlign w:val="bottom"/>
                </w:tcPr>
                <w:p w14:paraId="7A622C4C"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274" w:type="dxa"/>
                  <w:shd w:val="clear" w:color="auto" w:fill="auto"/>
                  <w:noWrap/>
                  <w:tcMar>
                    <w:top w:w="0" w:type="dxa"/>
                    <w:left w:w="108" w:type="dxa"/>
                    <w:bottom w:w="0" w:type="dxa"/>
                    <w:right w:w="108" w:type="dxa"/>
                  </w:tcMar>
                  <w:vAlign w:val="bottom"/>
                </w:tcPr>
                <w:p w14:paraId="234A4B82" w14:textId="77777777" w:rsidR="00886967" w:rsidRDefault="00886967" w:rsidP="0010241A">
                  <w:pPr>
                    <w:suppressAutoHyphens w:val="0"/>
                    <w:spacing w:after="0" w:line="240" w:lineRule="auto"/>
                    <w:jc w:val="center"/>
                    <w:rPr>
                      <w:rFonts w:ascii="Times New Roman" w:hAnsi="Times New Roman"/>
                      <w:color w:val="auto"/>
                      <w:sz w:val="20"/>
                      <w:szCs w:val="20"/>
                    </w:rPr>
                  </w:pPr>
                </w:p>
              </w:tc>
            </w:tr>
            <w:tr w:rsidR="00886967" w14:paraId="4EA09A1B" w14:textId="77777777" w:rsidTr="0010241A">
              <w:trPr>
                <w:trHeight w:val="261"/>
              </w:trPr>
              <w:tc>
                <w:tcPr>
                  <w:tcW w:w="2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9C3ED1"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From Yr 7 - Yr10</w:t>
                  </w:r>
                </w:p>
              </w:tc>
              <w:tc>
                <w:tcPr>
                  <w:tcW w:w="210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22B3D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11-12 Yrs</w:t>
                  </w:r>
                </w:p>
              </w:tc>
              <w:tc>
                <w:tcPr>
                  <w:tcW w:w="189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5AFA41"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14-15 Yrs</w:t>
                  </w:r>
                </w:p>
              </w:tc>
              <w:tc>
                <w:tcPr>
                  <w:tcW w:w="22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3F68B4"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Increase</w:t>
                  </w:r>
                </w:p>
              </w:tc>
            </w:tr>
            <w:tr w:rsidR="00886967" w14:paraId="5C998B53"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44DA0D"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All</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6DC8D7"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10.71</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BEA8B6"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12.96</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5B3F56"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2.21</w:t>
                  </w:r>
                </w:p>
              </w:tc>
            </w:tr>
            <w:tr w:rsidR="00886967" w14:paraId="35C70F3C"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82DB21"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Non PP</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1D2AA5"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10.62</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F9FBD9"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12.78</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3F69B4"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2.14</w:t>
                  </w:r>
                </w:p>
              </w:tc>
            </w:tr>
            <w:tr w:rsidR="00886967" w14:paraId="4A9753E7"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A03967"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PP</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C6FEA3"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10.79</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235B01"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13.12</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66FA26"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2.26</w:t>
                  </w:r>
                </w:p>
              </w:tc>
            </w:tr>
            <w:tr w:rsidR="00886967" w14:paraId="5B7AD8EB" w14:textId="77777777" w:rsidTr="0010241A">
              <w:trPr>
                <w:trHeight w:val="261"/>
              </w:trPr>
              <w:tc>
                <w:tcPr>
                  <w:tcW w:w="2827" w:type="dxa"/>
                  <w:shd w:val="clear" w:color="auto" w:fill="auto"/>
                  <w:noWrap/>
                  <w:tcMar>
                    <w:top w:w="0" w:type="dxa"/>
                    <w:left w:w="108" w:type="dxa"/>
                    <w:bottom w:w="0" w:type="dxa"/>
                    <w:right w:w="108" w:type="dxa"/>
                  </w:tcMar>
                  <w:vAlign w:val="bottom"/>
                </w:tcPr>
                <w:p w14:paraId="2A7AA56D" w14:textId="77777777" w:rsidR="00886967" w:rsidRDefault="00886967" w:rsidP="0010241A">
                  <w:pPr>
                    <w:suppressAutoHyphens w:val="0"/>
                    <w:spacing w:after="0" w:line="240" w:lineRule="auto"/>
                    <w:jc w:val="center"/>
                    <w:rPr>
                      <w:rFonts w:cs="Arial"/>
                      <w:color w:val="auto"/>
                      <w:sz w:val="20"/>
                      <w:szCs w:val="20"/>
                    </w:rPr>
                  </w:pPr>
                </w:p>
              </w:tc>
              <w:tc>
                <w:tcPr>
                  <w:tcW w:w="2100" w:type="dxa"/>
                  <w:shd w:val="clear" w:color="auto" w:fill="auto"/>
                  <w:noWrap/>
                  <w:tcMar>
                    <w:top w:w="0" w:type="dxa"/>
                    <w:left w:w="108" w:type="dxa"/>
                    <w:bottom w:w="0" w:type="dxa"/>
                    <w:right w:w="108" w:type="dxa"/>
                  </w:tcMar>
                  <w:vAlign w:val="bottom"/>
                </w:tcPr>
                <w:p w14:paraId="3E291EA4"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1895" w:type="dxa"/>
                  <w:shd w:val="clear" w:color="auto" w:fill="auto"/>
                  <w:noWrap/>
                  <w:tcMar>
                    <w:top w:w="0" w:type="dxa"/>
                    <w:left w:w="108" w:type="dxa"/>
                    <w:bottom w:w="0" w:type="dxa"/>
                    <w:right w:w="108" w:type="dxa"/>
                  </w:tcMar>
                  <w:vAlign w:val="bottom"/>
                </w:tcPr>
                <w:p w14:paraId="4A893D76"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274" w:type="dxa"/>
                  <w:shd w:val="clear" w:color="auto" w:fill="auto"/>
                  <w:noWrap/>
                  <w:tcMar>
                    <w:top w:w="0" w:type="dxa"/>
                    <w:left w:w="108" w:type="dxa"/>
                    <w:bottom w:w="0" w:type="dxa"/>
                    <w:right w:w="108" w:type="dxa"/>
                  </w:tcMar>
                  <w:vAlign w:val="bottom"/>
                </w:tcPr>
                <w:p w14:paraId="0E07C770" w14:textId="77777777" w:rsidR="00886967" w:rsidRDefault="00886967" w:rsidP="0010241A">
                  <w:pPr>
                    <w:suppressAutoHyphens w:val="0"/>
                    <w:spacing w:after="0" w:line="240" w:lineRule="auto"/>
                    <w:jc w:val="center"/>
                    <w:rPr>
                      <w:rFonts w:ascii="Times New Roman" w:hAnsi="Times New Roman"/>
                      <w:color w:val="auto"/>
                      <w:sz w:val="20"/>
                      <w:szCs w:val="20"/>
                    </w:rPr>
                  </w:pPr>
                </w:p>
              </w:tc>
            </w:tr>
            <w:tr w:rsidR="00886967" w14:paraId="47811FB7" w14:textId="77777777" w:rsidTr="0010241A">
              <w:trPr>
                <w:trHeight w:val="261"/>
              </w:trPr>
              <w:tc>
                <w:tcPr>
                  <w:tcW w:w="2827" w:type="dxa"/>
                  <w:shd w:val="clear" w:color="auto" w:fill="auto"/>
                  <w:noWrap/>
                  <w:tcMar>
                    <w:top w:w="0" w:type="dxa"/>
                    <w:left w:w="108" w:type="dxa"/>
                    <w:bottom w:w="0" w:type="dxa"/>
                    <w:right w:w="108" w:type="dxa"/>
                  </w:tcMar>
                  <w:vAlign w:val="bottom"/>
                </w:tcPr>
                <w:p w14:paraId="12E0A948"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100" w:type="dxa"/>
                  <w:shd w:val="clear" w:color="auto" w:fill="auto"/>
                  <w:noWrap/>
                  <w:tcMar>
                    <w:top w:w="0" w:type="dxa"/>
                    <w:left w:w="108" w:type="dxa"/>
                    <w:bottom w:w="0" w:type="dxa"/>
                    <w:right w:w="108" w:type="dxa"/>
                  </w:tcMar>
                  <w:vAlign w:val="bottom"/>
                </w:tcPr>
                <w:p w14:paraId="4FCAF6F0"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1895" w:type="dxa"/>
                  <w:shd w:val="clear" w:color="auto" w:fill="auto"/>
                  <w:noWrap/>
                  <w:tcMar>
                    <w:top w:w="0" w:type="dxa"/>
                    <w:left w:w="108" w:type="dxa"/>
                    <w:bottom w:w="0" w:type="dxa"/>
                    <w:right w:w="108" w:type="dxa"/>
                  </w:tcMar>
                  <w:vAlign w:val="bottom"/>
                </w:tcPr>
                <w:p w14:paraId="38702F7A" w14:textId="77777777" w:rsidR="00886967" w:rsidRDefault="00886967" w:rsidP="0010241A">
                  <w:pPr>
                    <w:suppressAutoHyphens w:val="0"/>
                    <w:spacing w:after="0" w:line="240" w:lineRule="auto"/>
                    <w:jc w:val="center"/>
                    <w:rPr>
                      <w:rFonts w:ascii="Times New Roman" w:hAnsi="Times New Roman"/>
                      <w:color w:val="auto"/>
                      <w:sz w:val="20"/>
                      <w:szCs w:val="20"/>
                    </w:rPr>
                  </w:pPr>
                </w:p>
              </w:tc>
              <w:tc>
                <w:tcPr>
                  <w:tcW w:w="2274" w:type="dxa"/>
                  <w:shd w:val="clear" w:color="auto" w:fill="auto"/>
                  <w:noWrap/>
                  <w:tcMar>
                    <w:top w:w="0" w:type="dxa"/>
                    <w:left w:w="108" w:type="dxa"/>
                    <w:bottom w:w="0" w:type="dxa"/>
                    <w:right w:w="108" w:type="dxa"/>
                  </w:tcMar>
                  <w:vAlign w:val="bottom"/>
                </w:tcPr>
                <w:p w14:paraId="42DA3070" w14:textId="77777777" w:rsidR="00886967" w:rsidRDefault="00886967" w:rsidP="0010241A">
                  <w:pPr>
                    <w:suppressAutoHyphens w:val="0"/>
                    <w:spacing w:after="0" w:line="240" w:lineRule="auto"/>
                    <w:jc w:val="center"/>
                    <w:rPr>
                      <w:rFonts w:ascii="Times New Roman" w:hAnsi="Times New Roman"/>
                      <w:color w:val="auto"/>
                      <w:sz w:val="20"/>
                      <w:szCs w:val="20"/>
                    </w:rPr>
                  </w:pPr>
                </w:p>
              </w:tc>
            </w:tr>
            <w:tr w:rsidR="00886967" w14:paraId="7E853F97" w14:textId="77777777" w:rsidTr="0010241A">
              <w:trPr>
                <w:trHeight w:val="261"/>
              </w:trPr>
              <w:tc>
                <w:tcPr>
                  <w:tcW w:w="2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AA7FF4"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From Year Yr 9 - Yr11</w:t>
                  </w:r>
                </w:p>
              </w:tc>
              <w:tc>
                <w:tcPr>
                  <w:tcW w:w="210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FB90A1"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13-14 Yrs</w:t>
                  </w:r>
                </w:p>
              </w:tc>
              <w:tc>
                <w:tcPr>
                  <w:tcW w:w="189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E833E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15-16 Yrs</w:t>
                  </w:r>
                </w:p>
              </w:tc>
              <w:tc>
                <w:tcPr>
                  <w:tcW w:w="227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1CD0DB"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Increase</w:t>
                  </w:r>
                </w:p>
              </w:tc>
            </w:tr>
            <w:tr w:rsidR="00886967" w14:paraId="78A3DD57"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E5827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All</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CBA7FC"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11.55</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F85FB0"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13.70</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7BC792"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2.27</w:t>
                  </w:r>
                </w:p>
              </w:tc>
            </w:tr>
            <w:tr w:rsidR="00886967" w14:paraId="24A58E20"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6F4060"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Non PP</w:t>
                  </w: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0580C2"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11.93</w:t>
                  </w: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29832B"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12.80</w:t>
                  </w: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99E9A7"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2.23</w:t>
                  </w:r>
                </w:p>
              </w:tc>
            </w:tr>
            <w:tr w:rsidR="00886967" w14:paraId="1EF2F48B" w14:textId="77777777" w:rsidTr="0010241A">
              <w:trPr>
                <w:trHeight w:val="261"/>
              </w:trPr>
              <w:tc>
                <w:tcPr>
                  <w:tcW w:w="2827" w:type="dxa"/>
                  <w:tcBorders>
                    <w:left w:val="single" w:sz="4" w:space="0" w:color="000000"/>
                    <w:right w:val="single" w:sz="4" w:space="0" w:color="000000"/>
                  </w:tcBorders>
                  <w:shd w:val="clear" w:color="auto" w:fill="auto"/>
                  <w:noWrap/>
                  <w:tcMar>
                    <w:top w:w="0" w:type="dxa"/>
                    <w:left w:w="108" w:type="dxa"/>
                    <w:bottom w:w="0" w:type="dxa"/>
                    <w:right w:w="108" w:type="dxa"/>
                  </w:tcMar>
                  <w:vAlign w:val="bottom"/>
                </w:tcPr>
                <w:p w14:paraId="7E4A2F06"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PP</w:t>
                  </w:r>
                </w:p>
              </w:tc>
              <w:tc>
                <w:tcPr>
                  <w:tcW w:w="2100" w:type="dxa"/>
                  <w:tcBorders>
                    <w:right w:val="single" w:sz="4" w:space="0" w:color="000000"/>
                  </w:tcBorders>
                  <w:shd w:val="clear" w:color="auto" w:fill="auto"/>
                  <w:noWrap/>
                  <w:tcMar>
                    <w:top w:w="0" w:type="dxa"/>
                    <w:left w:w="108" w:type="dxa"/>
                    <w:bottom w:w="0" w:type="dxa"/>
                    <w:right w:w="108" w:type="dxa"/>
                  </w:tcMar>
                  <w:vAlign w:val="bottom"/>
                </w:tcPr>
                <w:p w14:paraId="7EFAEB5E"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11.52</w:t>
                  </w:r>
                </w:p>
              </w:tc>
              <w:tc>
                <w:tcPr>
                  <w:tcW w:w="1895" w:type="dxa"/>
                  <w:tcBorders>
                    <w:right w:val="single" w:sz="4" w:space="0" w:color="000000"/>
                  </w:tcBorders>
                  <w:shd w:val="clear" w:color="auto" w:fill="auto"/>
                  <w:noWrap/>
                  <w:tcMar>
                    <w:top w:w="0" w:type="dxa"/>
                    <w:left w:w="108" w:type="dxa"/>
                    <w:bottom w:w="0" w:type="dxa"/>
                    <w:right w:w="108" w:type="dxa"/>
                  </w:tcMar>
                  <w:vAlign w:val="bottom"/>
                </w:tcPr>
                <w:p w14:paraId="7B246E74"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13.80</w:t>
                  </w:r>
                </w:p>
              </w:tc>
              <w:tc>
                <w:tcPr>
                  <w:tcW w:w="2274" w:type="dxa"/>
                  <w:tcBorders>
                    <w:right w:val="single" w:sz="4" w:space="0" w:color="000000"/>
                  </w:tcBorders>
                  <w:shd w:val="clear" w:color="auto" w:fill="auto"/>
                  <w:noWrap/>
                  <w:tcMar>
                    <w:top w:w="0" w:type="dxa"/>
                    <w:left w:w="108" w:type="dxa"/>
                    <w:bottom w:w="0" w:type="dxa"/>
                    <w:right w:w="108" w:type="dxa"/>
                  </w:tcMar>
                  <w:vAlign w:val="bottom"/>
                </w:tcPr>
                <w:p w14:paraId="3FAE5B57" w14:textId="77777777" w:rsidR="00886967" w:rsidRDefault="00886967" w:rsidP="0010241A">
                  <w:pPr>
                    <w:suppressAutoHyphens w:val="0"/>
                    <w:spacing w:after="0" w:line="240" w:lineRule="auto"/>
                    <w:jc w:val="center"/>
                    <w:rPr>
                      <w:rFonts w:cs="Arial"/>
                      <w:color w:val="auto"/>
                      <w:sz w:val="20"/>
                      <w:szCs w:val="20"/>
                    </w:rPr>
                  </w:pPr>
                  <w:r>
                    <w:rPr>
                      <w:rFonts w:cs="Arial"/>
                      <w:color w:val="auto"/>
                      <w:sz w:val="20"/>
                      <w:szCs w:val="20"/>
                    </w:rPr>
                    <w:t>2.27</w:t>
                  </w:r>
                </w:p>
              </w:tc>
            </w:tr>
            <w:tr w:rsidR="00886967" w14:paraId="14FD71ED" w14:textId="77777777" w:rsidTr="0010241A">
              <w:trPr>
                <w:trHeight w:val="261"/>
              </w:trPr>
              <w:tc>
                <w:tcPr>
                  <w:tcW w:w="282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9C4D76" w14:textId="77777777" w:rsidR="00886967" w:rsidRDefault="00886967" w:rsidP="0010241A">
                  <w:pPr>
                    <w:suppressAutoHyphens w:val="0"/>
                    <w:spacing w:after="0" w:line="240" w:lineRule="auto"/>
                    <w:rPr>
                      <w:rFonts w:cs="Arial"/>
                      <w:color w:val="auto"/>
                      <w:sz w:val="20"/>
                      <w:szCs w:val="20"/>
                    </w:rPr>
                  </w:pPr>
                </w:p>
              </w:tc>
              <w:tc>
                <w:tcPr>
                  <w:tcW w:w="21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54A752" w14:textId="77777777" w:rsidR="00886967" w:rsidRDefault="00886967" w:rsidP="0010241A">
                  <w:pPr>
                    <w:suppressAutoHyphens w:val="0"/>
                    <w:spacing w:after="0" w:line="240" w:lineRule="auto"/>
                    <w:jc w:val="center"/>
                    <w:rPr>
                      <w:rFonts w:cs="Arial"/>
                      <w:color w:val="auto"/>
                      <w:sz w:val="20"/>
                      <w:szCs w:val="20"/>
                    </w:rPr>
                  </w:pPr>
                </w:p>
              </w:tc>
              <w:tc>
                <w:tcPr>
                  <w:tcW w:w="189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A3CD81" w14:textId="77777777" w:rsidR="00886967" w:rsidRDefault="00886967" w:rsidP="0010241A">
                  <w:pPr>
                    <w:suppressAutoHyphens w:val="0"/>
                    <w:spacing w:after="0" w:line="240" w:lineRule="auto"/>
                    <w:jc w:val="center"/>
                    <w:rPr>
                      <w:rFonts w:cs="Arial"/>
                      <w:color w:val="auto"/>
                      <w:sz w:val="20"/>
                      <w:szCs w:val="20"/>
                    </w:rPr>
                  </w:pPr>
                </w:p>
              </w:tc>
              <w:tc>
                <w:tcPr>
                  <w:tcW w:w="227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0FAA1A" w14:textId="77777777" w:rsidR="00886967" w:rsidRDefault="00886967" w:rsidP="0010241A">
                  <w:pPr>
                    <w:suppressAutoHyphens w:val="0"/>
                    <w:spacing w:after="0" w:line="240" w:lineRule="auto"/>
                    <w:jc w:val="center"/>
                    <w:rPr>
                      <w:rFonts w:cs="Arial"/>
                      <w:color w:val="auto"/>
                      <w:sz w:val="20"/>
                      <w:szCs w:val="20"/>
                    </w:rPr>
                  </w:pPr>
                </w:p>
              </w:tc>
            </w:tr>
          </w:tbl>
          <w:p w14:paraId="5A0859B4" w14:textId="77777777" w:rsidR="00886967" w:rsidRDefault="00886967" w:rsidP="0010241A">
            <w:pPr>
              <w:pStyle w:val="TableRow"/>
              <w:rPr>
                <w:rStyle w:val="PlaceholderText"/>
                <w:color w:val="auto"/>
              </w:rPr>
            </w:pPr>
          </w:p>
          <w:p w14:paraId="0D66289C" w14:textId="13DA0E5D" w:rsidR="00886967" w:rsidRPr="003B468E" w:rsidRDefault="003B468E" w:rsidP="0010241A">
            <w:pPr>
              <w:pStyle w:val="TableRow"/>
              <w:ind w:left="0"/>
              <w:rPr>
                <w:color w:val="auto"/>
              </w:rPr>
            </w:pPr>
            <w:r w:rsidRPr="00152466">
              <w:rPr>
                <w:rStyle w:val="PlaceholderText"/>
                <w:color w:val="auto"/>
                <w:sz w:val="22"/>
              </w:rPr>
              <w:t>In 2020-2</w:t>
            </w:r>
            <w:r w:rsidR="00595769">
              <w:rPr>
                <w:rStyle w:val="PlaceholderText"/>
                <w:color w:val="auto"/>
                <w:sz w:val="22"/>
              </w:rPr>
              <w:t>1,</w:t>
            </w:r>
            <w:r w:rsidRPr="00152466">
              <w:rPr>
                <w:rStyle w:val="PlaceholderText"/>
                <w:color w:val="auto"/>
                <w:sz w:val="22"/>
              </w:rPr>
              <w:t xml:space="preserve"> the school used strategies including: LEXIA, Tutor Group book boxes,</w:t>
            </w:r>
            <w:r w:rsidR="00886967" w:rsidRPr="00152466">
              <w:rPr>
                <w:rStyle w:val="PlaceholderText"/>
                <w:color w:val="auto"/>
                <w:sz w:val="22"/>
              </w:rPr>
              <w:t xml:space="preserve"> and </w:t>
            </w:r>
            <w:r w:rsidRPr="00152466">
              <w:rPr>
                <w:rStyle w:val="PlaceholderText"/>
                <w:color w:val="auto"/>
                <w:sz w:val="22"/>
              </w:rPr>
              <w:t xml:space="preserve">the </w:t>
            </w:r>
            <w:r w:rsidR="00886967" w:rsidRPr="00152466">
              <w:rPr>
                <w:rStyle w:val="PlaceholderText"/>
                <w:color w:val="auto"/>
                <w:sz w:val="22"/>
              </w:rPr>
              <w:t xml:space="preserve">Accelerated Reader programme. </w:t>
            </w:r>
            <w:r w:rsidRPr="00152466">
              <w:rPr>
                <w:rStyle w:val="PlaceholderText"/>
                <w:color w:val="auto"/>
                <w:sz w:val="22"/>
              </w:rPr>
              <w:t>These strategies</w:t>
            </w:r>
            <w:r w:rsidR="00595769">
              <w:rPr>
                <w:rStyle w:val="PlaceholderText"/>
                <w:color w:val="auto"/>
                <w:sz w:val="22"/>
              </w:rPr>
              <w:t xml:space="preserve"> </w:t>
            </w:r>
            <w:r w:rsidRPr="00152466">
              <w:rPr>
                <w:rStyle w:val="PlaceholderText"/>
                <w:color w:val="auto"/>
                <w:sz w:val="22"/>
              </w:rPr>
              <w:t>were</w:t>
            </w:r>
            <w:r w:rsidR="00595769">
              <w:rPr>
                <w:rStyle w:val="PlaceholderText"/>
                <w:color w:val="auto"/>
                <w:sz w:val="22"/>
              </w:rPr>
              <w:t>,</w:t>
            </w:r>
            <w:r w:rsidRPr="00152466">
              <w:rPr>
                <w:rStyle w:val="PlaceholderText"/>
                <w:color w:val="auto"/>
                <w:sz w:val="22"/>
              </w:rPr>
              <w:t xml:space="preserve"> however</w:t>
            </w:r>
            <w:r w:rsidR="00595769">
              <w:rPr>
                <w:rStyle w:val="PlaceholderText"/>
                <w:color w:val="auto"/>
                <w:sz w:val="22"/>
              </w:rPr>
              <w:t>,</w:t>
            </w:r>
            <w:r w:rsidRPr="00152466">
              <w:rPr>
                <w:rStyle w:val="PlaceholderText"/>
                <w:color w:val="auto"/>
                <w:sz w:val="22"/>
              </w:rPr>
              <w:t xml:space="preserve"> </w:t>
            </w:r>
            <w:r w:rsidR="00595769">
              <w:rPr>
                <w:rStyle w:val="PlaceholderText"/>
                <w:color w:val="auto"/>
                <w:sz w:val="22"/>
              </w:rPr>
              <w:t>a</w:t>
            </w:r>
            <w:r w:rsidRPr="00152466">
              <w:rPr>
                <w:rStyle w:val="PlaceholderText"/>
                <w:color w:val="auto"/>
                <w:sz w:val="22"/>
              </w:rPr>
              <w:t xml:space="preserve">ffected by the impact of Covid 19. </w:t>
            </w:r>
            <w:r w:rsidR="00886967" w:rsidRPr="00152466">
              <w:rPr>
                <w:rStyle w:val="PlaceholderText"/>
                <w:color w:val="auto"/>
                <w:sz w:val="22"/>
              </w:rPr>
              <w:t>The teaching of LEXIA</w:t>
            </w:r>
            <w:r w:rsidRPr="00152466">
              <w:rPr>
                <w:rStyle w:val="PlaceholderText"/>
                <w:color w:val="auto"/>
                <w:sz w:val="22"/>
              </w:rPr>
              <w:t>,</w:t>
            </w:r>
            <w:r w:rsidR="00886967" w:rsidRPr="00152466">
              <w:rPr>
                <w:rStyle w:val="PlaceholderText"/>
                <w:color w:val="auto"/>
                <w:sz w:val="22"/>
              </w:rPr>
              <w:t xml:space="preserve"> and the Accelerated Reading Programme</w:t>
            </w:r>
            <w:r w:rsidRPr="00152466">
              <w:rPr>
                <w:rStyle w:val="PlaceholderText"/>
                <w:color w:val="auto"/>
                <w:sz w:val="22"/>
              </w:rPr>
              <w:t>,</w:t>
            </w:r>
            <w:r w:rsidR="00886967" w:rsidRPr="00152466">
              <w:rPr>
                <w:rStyle w:val="PlaceholderText"/>
                <w:color w:val="auto"/>
                <w:sz w:val="22"/>
              </w:rPr>
              <w:t xml:space="preserve"> was effected by the impact of COVID 19 and these two reading strategies will be continued</w:t>
            </w:r>
            <w:r w:rsidRPr="00152466">
              <w:rPr>
                <w:rStyle w:val="PlaceholderText"/>
                <w:color w:val="auto"/>
                <w:sz w:val="22"/>
              </w:rPr>
              <w:t xml:space="preserve"> in 2021-22 in greater depth.  </w:t>
            </w:r>
          </w:p>
        </w:tc>
      </w:tr>
      <w:tr w:rsidR="00886967" w14:paraId="4D8BA6DB" w14:textId="77777777" w:rsidTr="0010241A">
        <w:tblPrEx>
          <w:tblLook w:val="0000" w:firstRow="0" w:lastRow="0" w:firstColumn="0" w:lastColumn="0" w:noHBand="0" w:noVBand="0"/>
        </w:tblPrEx>
        <w:trPr>
          <w:gridAfter w:val="1"/>
          <w:wAfter w:w="9" w:type="dxa"/>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C3A7" w14:textId="64A1BD10" w:rsidR="00886967" w:rsidRPr="00B56447" w:rsidRDefault="00886967" w:rsidP="00886967">
            <w:pPr>
              <w:pStyle w:val="TableRow"/>
              <w:numPr>
                <w:ilvl w:val="0"/>
                <w:numId w:val="3"/>
              </w:numPr>
              <w:rPr>
                <w:color w:val="auto"/>
                <w:sz w:val="22"/>
              </w:rPr>
            </w:pPr>
            <w:r w:rsidRPr="00B56447">
              <w:rPr>
                <w:rStyle w:val="PlaceholderText"/>
                <w:color w:val="auto"/>
                <w:sz w:val="22"/>
              </w:rPr>
              <w:lastRenderedPageBreak/>
              <w:t xml:space="preserve">Improved progress for </w:t>
            </w:r>
            <w:r w:rsidR="00595769">
              <w:rPr>
                <w:rStyle w:val="PlaceholderText"/>
                <w:color w:val="auto"/>
                <w:sz w:val="22"/>
              </w:rPr>
              <w:t>Disadvantaged</w:t>
            </w:r>
            <w:r w:rsidRPr="00B56447">
              <w:rPr>
                <w:rStyle w:val="PlaceholderText"/>
                <w:color w:val="auto"/>
                <w:sz w:val="22"/>
              </w:rPr>
              <w:t xml:space="preserve"> </w:t>
            </w:r>
            <w:r w:rsidR="00595769">
              <w:rPr>
                <w:rStyle w:val="PlaceholderText"/>
                <w:color w:val="auto"/>
                <w:sz w:val="22"/>
              </w:rPr>
              <w:t>S</w:t>
            </w:r>
            <w:r w:rsidRPr="00B56447">
              <w:rPr>
                <w:rStyle w:val="PlaceholderText"/>
                <w:color w:val="auto"/>
                <w:sz w:val="22"/>
              </w:rPr>
              <w:t xml:space="preserve">tudents who enter the </w:t>
            </w:r>
            <w:r w:rsidR="00595769">
              <w:rPr>
                <w:rStyle w:val="PlaceholderText"/>
                <w:color w:val="auto"/>
                <w:sz w:val="22"/>
              </w:rPr>
              <w:t>A</w:t>
            </w:r>
            <w:r w:rsidRPr="00B56447">
              <w:rPr>
                <w:rStyle w:val="PlaceholderText"/>
                <w:color w:val="auto"/>
                <w:sz w:val="22"/>
              </w:rPr>
              <w:t xml:space="preserve">cademy with KS2 results below national expectations.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ADC4" w14:textId="77777777" w:rsidR="005A28A1" w:rsidRDefault="00886967" w:rsidP="005A28A1">
            <w:pPr>
              <w:pStyle w:val="TableRow"/>
              <w:numPr>
                <w:ilvl w:val="0"/>
                <w:numId w:val="2"/>
              </w:numPr>
              <w:rPr>
                <w:sz w:val="22"/>
              </w:rPr>
            </w:pPr>
            <w:r w:rsidRPr="00B56447">
              <w:rPr>
                <w:sz w:val="22"/>
              </w:rPr>
              <w:t xml:space="preserve">Year 11 cohort: 2020-21 progress overall was </w:t>
            </w:r>
            <w:r w:rsidR="005A28A1">
              <w:rPr>
                <w:sz w:val="22"/>
              </w:rPr>
              <w:t xml:space="preserve">of Disadvantaged Students was </w:t>
            </w:r>
            <w:r w:rsidRPr="00B56447">
              <w:rPr>
                <w:sz w:val="22"/>
              </w:rPr>
              <w:t>+0.70</w:t>
            </w:r>
            <w:r w:rsidR="005A28A1">
              <w:rPr>
                <w:sz w:val="22"/>
              </w:rPr>
              <w:t xml:space="preserve"> which was well above national average. </w:t>
            </w:r>
          </w:p>
          <w:p w14:paraId="78EF18B5" w14:textId="77777777" w:rsidR="005A28A1" w:rsidRDefault="005A28A1" w:rsidP="005A28A1">
            <w:pPr>
              <w:pStyle w:val="TableRow"/>
              <w:numPr>
                <w:ilvl w:val="0"/>
                <w:numId w:val="2"/>
              </w:numPr>
              <w:rPr>
                <w:sz w:val="22"/>
              </w:rPr>
            </w:pPr>
            <w:r>
              <w:rPr>
                <w:sz w:val="22"/>
              </w:rPr>
              <w:t xml:space="preserve">Achievement overall by all groups of students was above national average. </w:t>
            </w:r>
          </w:p>
          <w:p w14:paraId="0793D629" w14:textId="77777777" w:rsidR="00886967" w:rsidRPr="005A28A1" w:rsidRDefault="005A28A1" w:rsidP="005A28A1">
            <w:pPr>
              <w:pStyle w:val="TableRow"/>
              <w:numPr>
                <w:ilvl w:val="0"/>
                <w:numId w:val="2"/>
              </w:numPr>
              <w:rPr>
                <w:sz w:val="22"/>
              </w:rPr>
            </w:pPr>
            <w:r>
              <w:rPr>
                <w:sz w:val="22"/>
              </w:rPr>
              <w:t xml:space="preserve">The achievement of students in the “low” prior band was well above national average.   </w:t>
            </w:r>
            <w:r w:rsidR="00886967" w:rsidRPr="00B56447">
              <w:rPr>
                <w:sz w:val="22"/>
              </w:rPr>
              <w:t xml:space="preserve"> </w:t>
            </w:r>
          </w:p>
        </w:tc>
      </w:tr>
      <w:tr w:rsidR="00886967" w14:paraId="610A87B8" w14:textId="77777777" w:rsidTr="0010241A">
        <w:tblPrEx>
          <w:tblLook w:val="0000" w:firstRow="0" w:lastRow="0" w:firstColumn="0" w:lastColumn="0" w:noHBand="0" w:noVBand="0"/>
        </w:tblPrEx>
        <w:trPr>
          <w:gridAfter w:val="1"/>
          <w:wAfter w:w="9" w:type="dxa"/>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EFBC" w14:textId="61AE9E92" w:rsidR="00886967" w:rsidRPr="00B56447" w:rsidRDefault="00886967" w:rsidP="00886967">
            <w:pPr>
              <w:pStyle w:val="TableRow"/>
              <w:numPr>
                <w:ilvl w:val="0"/>
                <w:numId w:val="3"/>
              </w:numPr>
              <w:rPr>
                <w:color w:val="auto"/>
                <w:sz w:val="22"/>
              </w:rPr>
            </w:pPr>
            <w:r w:rsidRPr="00B56447">
              <w:rPr>
                <w:rStyle w:val="PlaceholderText"/>
                <w:color w:val="auto"/>
                <w:sz w:val="22"/>
              </w:rPr>
              <w:t xml:space="preserve">Improve social skills and self-regulatory behaviour for </w:t>
            </w:r>
            <w:r w:rsidR="00595769">
              <w:rPr>
                <w:rStyle w:val="PlaceholderText"/>
                <w:color w:val="auto"/>
                <w:sz w:val="22"/>
              </w:rPr>
              <w:t>Disadvantaged</w:t>
            </w:r>
            <w:r w:rsidRPr="00B56447">
              <w:rPr>
                <w:rStyle w:val="PlaceholderText"/>
                <w:color w:val="auto"/>
                <w:sz w:val="22"/>
              </w:rPr>
              <w:t xml:space="preserve"> students.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C06A" w14:textId="1E58DBB4" w:rsidR="00886967" w:rsidRPr="00B56447" w:rsidRDefault="005D7421" w:rsidP="0010241A">
            <w:pPr>
              <w:pStyle w:val="TableRow"/>
              <w:ind w:left="0"/>
              <w:rPr>
                <w:sz w:val="22"/>
              </w:rPr>
            </w:pPr>
            <w:r>
              <w:rPr>
                <w:b/>
                <w:sz w:val="22"/>
              </w:rPr>
              <w:t xml:space="preserve">During 2020-21 - </w:t>
            </w:r>
            <w:r w:rsidR="005A28A1" w:rsidRPr="00152466">
              <w:rPr>
                <w:b/>
                <w:sz w:val="22"/>
              </w:rPr>
              <w:t>64%</w:t>
            </w:r>
            <w:r w:rsidR="005A28A1">
              <w:rPr>
                <w:sz w:val="22"/>
              </w:rPr>
              <w:t xml:space="preserve"> of </w:t>
            </w:r>
            <w:r w:rsidR="00152466">
              <w:rPr>
                <w:sz w:val="22"/>
              </w:rPr>
              <w:t xml:space="preserve">recorded behaviour incidents </w:t>
            </w:r>
            <w:r w:rsidR="005A28A1">
              <w:rPr>
                <w:sz w:val="22"/>
              </w:rPr>
              <w:t>in the</w:t>
            </w:r>
            <w:r w:rsidR="00152466">
              <w:rPr>
                <w:sz w:val="22"/>
              </w:rPr>
              <w:t xml:space="preserve"> </w:t>
            </w:r>
            <w:r w:rsidR="00595769">
              <w:rPr>
                <w:sz w:val="22"/>
              </w:rPr>
              <w:t>A</w:t>
            </w:r>
            <w:r w:rsidR="00152466">
              <w:rPr>
                <w:sz w:val="22"/>
              </w:rPr>
              <w:t>cademy w</w:t>
            </w:r>
            <w:r>
              <w:rPr>
                <w:sz w:val="22"/>
              </w:rPr>
              <w:t xml:space="preserve">ere by Disadvantaged Students. </w:t>
            </w:r>
            <w:r w:rsidRPr="005D7421">
              <w:rPr>
                <w:b/>
                <w:sz w:val="22"/>
              </w:rPr>
              <w:t>36%</w:t>
            </w:r>
            <w:r>
              <w:rPr>
                <w:sz w:val="22"/>
              </w:rPr>
              <w:t xml:space="preserve"> were recorded for Non-Disadvantaged Students. </w:t>
            </w:r>
          </w:p>
          <w:p w14:paraId="21435011" w14:textId="77777777" w:rsidR="00886967" w:rsidRDefault="00886967" w:rsidP="0010241A">
            <w:pPr>
              <w:pStyle w:val="TableRow"/>
              <w:ind w:left="0"/>
              <w:rPr>
                <w:sz w:val="22"/>
              </w:rPr>
            </w:pPr>
          </w:p>
          <w:p w14:paraId="2E636BF0" w14:textId="77777777" w:rsidR="00886967" w:rsidRDefault="003F0CB8" w:rsidP="003F0CB8">
            <w:pPr>
              <w:pStyle w:val="TableRow"/>
              <w:shd w:val="clear" w:color="auto" w:fill="FFFFFF" w:themeFill="background1"/>
              <w:ind w:left="0"/>
              <w:rPr>
                <w:sz w:val="22"/>
              </w:rPr>
            </w:pPr>
            <w:r w:rsidRPr="003F0CB8">
              <w:rPr>
                <w:sz w:val="22"/>
              </w:rPr>
              <w:t xml:space="preserve">There were </w:t>
            </w:r>
            <w:r w:rsidRPr="005D7421">
              <w:rPr>
                <w:b/>
                <w:sz w:val="22"/>
              </w:rPr>
              <w:t>14</w:t>
            </w:r>
            <w:r w:rsidRPr="003F0CB8">
              <w:rPr>
                <w:sz w:val="22"/>
              </w:rPr>
              <w:t xml:space="preserve"> fixed term exclusion</w:t>
            </w:r>
            <w:r>
              <w:rPr>
                <w:sz w:val="22"/>
              </w:rPr>
              <w:t>s</w:t>
            </w:r>
            <w:r w:rsidRPr="003F0CB8">
              <w:rPr>
                <w:sz w:val="22"/>
              </w:rPr>
              <w:t xml:space="preserve"> during 2020-21. </w:t>
            </w:r>
            <w:r>
              <w:rPr>
                <w:sz w:val="22"/>
              </w:rPr>
              <w:t xml:space="preserve"> Disadvantaged Students: 8.  Non-Disadvantaged Students: 6. </w:t>
            </w:r>
          </w:p>
          <w:p w14:paraId="3730AA85" w14:textId="77777777" w:rsidR="00886967" w:rsidRPr="00B56447" w:rsidRDefault="00886967" w:rsidP="0010241A">
            <w:pPr>
              <w:pStyle w:val="TableRow"/>
              <w:ind w:left="0"/>
              <w:rPr>
                <w:sz w:val="22"/>
              </w:rPr>
            </w:pPr>
          </w:p>
        </w:tc>
      </w:tr>
      <w:tr w:rsidR="00886967" w14:paraId="423C34D0" w14:textId="77777777" w:rsidTr="0010241A">
        <w:tblPrEx>
          <w:tblLook w:val="0000" w:firstRow="0" w:lastRow="0" w:firstColumn="0" w:lastColumn="0" w:noHBand="0" w:noVBand="0"/>
        </w:tblPrEx>
        <w:trPr>
          <w:gridAfter w:val="1"/>
          <w:wAfter w:w="9" w:type="dxa"/>
        </w:trPr>
        <w:tc>
          <w:tcPr>
            <w:tcW w:w="9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44F9" w14:textId="77777777" w:rsidR="00595769" w:rsidRDefault="00886967" w:rsidP="0010241A">
            <w:pPr>
              <w:pStyle w:val="TableRow"/>
              <w:ind w:left="0"/>
              <w:rPr>
                <w:rStyle w:val="PlaceholderText"/>
                <w:color w:val="auto"/>
              </w:rPr>
            </w:pPr>
            <w:r w:rsidRPr="00DA7BD7">
              <w:rPr>
                <w:rStyle w:val="PlaceholderText"/>
                <w:color w:val="auto"/>
              </w:rPr>
              <w:t xml:space="preserve">It is </w:t>
            </w:r>
            <w:r>
              <w:rPr>
                <w:rStyle w:val="PlaceholderText"/>
                <w:color w:val="auto"/>
              </w:rPr>
              <w:t>clear that the impact of COVID</w:t>
            </w:r>
            <w:r w:rsidR="00595769">
              <w:rPr>
                <w:rStyle w:val="PlaceholderText"/>
                <w:color w:val="auto"/>
              </w:rPr>
              <w:t>-</w:t>
            </w:r>
            <w:r>
              <w:rPr>
                <w:rStyle w:val="PlaceholderText"/>
                <w:color w:val="auto"/>
              </w:rPr>
              <w:t>19 has meant that the in-school rewa</w:t>
            </w:r>
            <w:r w:rsidR="003F0CB8">
              <w:rPr>
                <w:rStyle w:val="PlaceholderText"/>
                <w:color w:val="auto"/>
              </w:rPr>
              <w:t xml:space="preserve">rds programme has been effected and has not been </w:t>
            </w:r>
            <w:r w:rsidR="00595769">
              <w:rPr>
                <w:rStyle w:val="PlaceholderText"/>
                <w:color w:val="auto"/>
              </w:rPr>
              <w:t xml:space="preserve">as </w:t>
            </w:r>
            <w:r w:rsidR="003F0CB8">
              <w:rPr>
                <w:rStyle w:val="PlaceholderText"/>
                <w:color w:val="auto"/>
              </w:rPr>
              <w:t xml:space="preserve">fully developed as we would have </w:t>
            </w:r>
            <w:r w:rsidR="00595769">
              <w:rPr>
                <w:rStyle w:val="PlaceholderText"/>
                <w:color w:val="auto"/>
              </w:rPr>
              <w:t>wanted – particularly extrinsic rewards</w:t>
            </w:r>
            <w:r w:rsidR="003F0CB8">
              <w:rPr>
                <w:rStyle w:val="PlaceholderText"/>
                <w:color w:val="auto"/>
              </w:rPr>
              <w:t xml:space="preserve">. </w:t>
            </w:r>
            <w:r w:rsidR="005D7421">
              <w:rPr>
                <w:rStyle w:val="PlaceholderText"/>
                <w:color w:val="auto"/>
              </w:rPr>
              <w:t xml:space="preserve">As a result of Covid 19, Pastoral Managers were not able to spend </w:t>
            </w:r>
            <w:r w:rsidR="00595769">
              <w:rPr>
                <w:rStyle w:val="PlaceholderText"/>
                <w:color w:val="auto"/>
              </w:rPr>
              <w:t>as much</w:t>
            </w:r>
            <w:r w:rsidR="005D7421">
              <w:rPr>
                <w:rStyle w:val="PlaceholderText"/>
                <w:color w:val="auto"/>
              </w:rPr>
              <w:t xml:space="preserve"> time </w:t>
            </w:r>
            <w:r w:rsidR="00595769">
              <w:rPr>
                <w:rStyle w:val="PlaceholderText"/>
                <w:color w:val="auto"/>
              </w:rPr>
              <w:t xml:space="preserve">as previous years in face-to-face </w:t>
            </w:r>
            <w:r w:rsidR="005D7421">
              <w:rPr>
                <w:rStyle w:val="PlaceholderText"/>
                <w:color w:val="auto"/>
              </w:rPr>
              <w:t xml:space="preserve">nurturing and supporting students across the </w:t>
            </w:r>
            <w:r w:rsidR="00595769">
              <w:rPr>
                <w:rStyle w:val="PlaceholderText"/>
                <w:color w:val="auto"/>
              </w:rPr>
              <w:t>Academy.</w:t>
            </w:r>
          </w:p>
          <w:p w14:paraId="6C058671" w14:textId="37189A26" w:rsidR="00886967" w:rsidRDefault="005D7421" w:rsidP="0010241A">
            <w:pPr>
              <w:pStyle w:val="TableRow"/>
              <w:ind w:left="0"/>
              <w:rPr>
                <w:rStyle w:val="PlaceholderText"/>
                <w:color w:val="auto"/>
              </w:rPr>
            </w:pPr>
            <w:r>
              <w:rPr>
                <w:rStyle w:val="PlaceholderText"/>
                <w:color w:val="auto"/>
              </w:rPr>
              <w:t>The number of fixed term exclusions remained low as a result of the important role played by all staff including form tutors. When evaluating exclusions</w:t>
            </w:r>
            <w:r w:rsidR="00595769">
              <w:rPr>
                <w:rStyle w:val="PlaceholderText"/>
                <w:color w:val="auto"/>
              </w:rPr>
              <w:t>,</w:t>
            </w:r>
            <w:r>
              <w:rPr>
                <w:rStyle w:val="PlaceholderText"/>
                <w:color w:val="auto"/>
              </w:rPr>
              <w:t xml:space="preserve"> we do</w:t>
            </w:r>
            <w:r w:rsidR="00595769">
              <w:rPr>
                <w:rStyle w:val="PlaceholderText"/>
                <w:color w:val="auto"/>
              </w:rPr>
              <w:t>,</w:t>
            </w:r>
            <w:r>
              <w:rPr>
                <w:rStyle w:val="PlaceholderText"/>
                <w:color w:val="auto"/>
              </w:rPr>
              <w:t xml:space="preserve"> however</w:t>
            </w:r>
            <w:r w:rsidR="00595769">
              <w:rPr>
                <w:rStyle w:val="PlaceholderText"/>
                <w:color w:val="auto"/>
              </w:rPr>
              <w:t>,</w:t>
            </w:r>
            <w:r>
              <w:rPr>
                <w:rStyle w:val="PlaceholderText"/>
                <w:color w:val="auto"/>
              </w:rPr>
              <w:t xml:space="preserve"> see that Disadvantaged Students received more fixed term exclusions.   </w:t>
            </w:r>
          </w:p>
          <w:p w14:paraId="2B038CC5" w14:textId="77777777" w:rsidR="00886967" w:rsidRDefault="00886967" w:rsidP="0010241A">
            <w:pPr>
              <w:pStyle w:val="TableRow"/>
              <w:ind w:left="0"/>
            </w:pPr>
          </w:p>
        </w:tc>
      </w:tr>
      <w:tr w:rsidR="00886967" w14:paraId="644012C9" w14:textId="77777777" w:rsidTr="0010241A">
        <w:tblPrEx>
          <w:tblLook w:val="0000" w:firstRow="0" w:lastRow="0" w:firstColumn="0" w:lastColumn="0" w:noHBand="0" w:noVBand="0"/>
        </w:tblPrEx>
        <w:trPr>
          <w:gridAfter w:val="1"/>
          <w:wAfter w:w="9" w:type="dxa"/>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E1D6" w14:textId="4C696F76" w:rsidR="00886967" w:rsidRPr="00AA5984" w:rsidRDefault="00886967" w:rsidP="00886967">
            <w:pPr>
              <w:pStyle w:val="TableRow"/>
              <w:numPr>
                <w:ilvl w:val="0"/>
                <w:numId w:val="3"/>
              </w:numPr>
              <w:rPr>
                <w:rStyle w:val="PlaceholderText"/>
                <w:color w:val="auto"/>
              </w:rPr>
            </w:pPr>
            <w:r w:rsidRPr="00AA5984">
              <w:rPr>
                <w:rStyle w:val="PlaceholderText"/>
                <w:color w:val="auto"/>
              </w:rPr>
              <w:t xml:space="preserve">Increased attendance and reduced persistent absence for </w:t>
            </w:r>
            <w:r w:rsidR="00595769">
              <w:rPr>
                <w:rStyle w:val="PlaceholderText"/>
                <w:color w:val="auto"/>
              </w:rPr>
              <w:t>Disadvantaged</w:t>
            </w:r>
            <w:r w:rsidRPr="00AA5984">
              <w:rPr>
                <w:rStyle w:val="PlaceholderText"/>
                <w:color w:val="auto"/>
              </w:rPr>
              <w:t xml:space="preserve"> </w:t>
            </w:r>
            <w:r w:rsidR="00595769">
              <w:rPr>
                <w:rStyle w:val="PlaceholderText"/>
                <w:color w:val="auto"/>
              </w:rPr>
              <w:t>S</w:t>
            </w:r>
            <w:r w:rsidRPr="00AA5984">
              <w:rPr>
                <w:rStyle w:val="PlaceholderText"/>
                <w:color w:val="auto"/>
              </w:rPr>
              <w:t>tudents</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9327" w14:textId="77777777" w:rsidR="00886967" w:rsidRPr="00E74093" w:rsidRDefault="00886967" w:rsidP="0010241A">
            <w:pPr>
              <w:pStyle w:val="TableRow"/>
              <w:ind w:left="0"/>
              <w:rPr>
                <w:rStyle w:val="PlaceholderText"/>
                <w:color w:val="000000" w:themeColor="text1"/>
              </w:rPr>
            </w:pPr>
            <w:r w:rsidRPr="0061639B">
              <w:rPr>
                <w:rStyle w:val="PlaceholderText"/>
                <w:color w:val="000000" w:themeColor="text1"/>
              </w:rPr>
              <w:t xml:space="preserve">School attendance data for students (disadvantaged and non-disadvantaged students is seen in </w:t>
            </w:r>
            <w:r>
              <w:rPr>
                <w:rStyle w:val="PlaceholderText"/>
                <w:b/>
                <w:color w:val="000000" w:themeColor="text1"/>
              </w:rPr>
              <w:t>Table K</w:t>
            </w:r>
            <w:r w:rsidRPr="0061639B">
              <w:rPr>
                <w:rStyle w:val="PlaceholderText"/>
                <w:b/>
                <w:color w:val="000000" w:themeColor="text1"/>
              </w:rPr>
              <w:t>).</w:t>
            </w:r>
            <w:r>
              <w:rPr>
                <w:rStyle w:val="PlaceholderText"/>
                <w:color w:val="000000" w:themeColor="text1"/>
              </w:rPr>
              <w:t xml:space="preserve">  </w:t>
            </w:r>
            <w:r w:rsidRPr="0061639B">
              <w:rPr>
                <w:rStyle w:val="PlaceholderText"/>
              </w:rPr>
              <w:t xml:space="preserve">  </w:t>
            </w:r>
          </w:p>
        </w:tc>
      </w:tr>
      <w:tr w:rsidR="00886967" w14:paraId="154D3D3C" w14:textId="77777777" w:rsidTr="0010241A">
        <w:tblPrEx>
          <w:tblLook w:val="0000" w:firstRow="0" w:lastRow="0" w:firstColumn="0" w:lastColumn="0" w:noHBand="0" w:noVBand="0"/>
        </w:tblPrEx>
        <w:trPr>
          <w:gridAfter w:val="1"/>
          <w:wAfter w:w="9" w:type="dxa"/>
        </w:trPr>
        <w:tc>
          <w:tcPr>
            <w:tcW w:w="9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9E23" w14:textId="77777777" w:rsidR="00886967" w:rsidRDefault="00886967" w:rsidP="0010241A">
            <w:pPr>
              <w:pStyle w:val="TableRow"/>
              <w:ind w:left="0"/>
              <w:rPr>
                <w:rStyle w:val="PlaceholderText"/>
                <w:color w:val="000000" w:themeColor="text1"/>
              </w:rPr>
            </w:pPr>
          </w:p>
          <w:p w14:paraId="50485485" w14:textId="77777777" w:rsidR="00886967" w:rsidRPr="0061639B" w:rsidRDefault="00886967" w:rsidP="0010241A">
            <w:pPr>
              <w:pStyle w:val="TableRow"/>
              <w:ind w:left="0"/>
              <w:rPr>
                <w:rStyle w:val="PlaceholderText"/>
                <w:b/>
                <w:color w:val="000000" w:themeColor="text1"/>
              </w:rPr>
            </w:pPr>
            <w:r>
              <w:rPr>
                <w:rStyle w:val="PlaceholderText"/>
                <w:b/>
                <w:color w:val="000000" w:themeColor="text1"/>
              </w:rPr>
              <w:t>TABLE K –</w:t>
            </w:r>
            <w:r w:rsidR="00E74093">
              <w:rPr>
                <w:rStyle w:val="PlaceholderText"/>
                <w:b/>
                <w:color w:val="000000" w:themeColor="text1"/>
              </w:rPr>
              <w:t xml:space="preserve"> Attendance data.  </w:t>
            </w:r>
            <w:r>
              <w:rPr>
                <w:rStyle w:val="PlaceholderText"/>
                <w:b/>
                <w:color w:val="000000" w:themeColor="text1"/>
              </w:rPr>
              <w:t xml:space="preserve"> </w:t>
            </w:r>
          </w:p>
          <w:tbl>
            <w:tblPr>
              <w:tblW w:w="8470" w:type="dxa"/>
              <w:tblCellMar>
                <w:left w:w="10" w:type="dxa"/>
                <w:right w:w="10" w:type="dxa"/>
              </w:tblCellMar>
              <w:tblLook w:val="0000" w:firstRow="0" w:lastRow="0" w:firstColumn="0" w:lastColumn="0" w:noHBand="0" w:noVBand="0"/>
            </w:tblPr>
            <w:tblGrid>
              <w:gridCol w:w="2158"/>
              <w:gridCol w:w="1052"/>
              <w:gridCol w:w="1052"/>
              <w:gridCol w:w="1052"/>
              <w:gridCol w:w="1052"/>
              <w:gridCol w:w="1052"/>
              <w:gridCol w:w="1052"/>
            </w:tblGrid>
            <w:tr w:rsidR="00886967" w14:paraId="5716DD6D" w14:textId="77777777" w:rsidTr="00E74093">
              <w:trPr>
                <w:trHeight w:val="2279"/>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1DF47D0"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lastRenderedPageBreak/>
                    <w:t xml:space="preserve">Term </w:t>
                  </w:r>
                </w:p>
              </w:tc>
              <w:tc>
                <w:tcPr>
                  <w:tcW w:w="1052" w:type="dxa"/>
                  <w:tcBorders>
                    <w:top w:val="single" w:sz="4" w:space="0" w:color="000000"/>
                    <w:bottom w:val="single" w:sz="4" w:space="0" w:color="000000"/>
                    <w:right w:val="single" w:sz="4" w:space="0" w:color="000000"/>
                  </w:tcBorders>
                  <w:shd w:val="clear" w:color="auto" w:fill="E2EFDA"/>
                  <w:tcMar>
                    <w:top w:w="0" w:type="dxa"/>
                    <w:left w:w="108" w:type="dxa"/>
                    <w:bottom w:w="0" w:type="dxa"/>
                    <w:right w:w="108" w:type="dxa"/>
                  </w:tcMar>
                  <w:textDirection w:val="btLr"/>
                  <w:vAlign w:val="center"/>
                </w:tcPr>
                <w:p w14:paraId="6DD2B3B4"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Students in cohort</w:t>
                  </w:r>
                </w:p>
              </w:tc>
              <w:tc>
                <w:tcPr>
                  <w:tcW w:w="1052" w:type="dxa"/>
                  <w:tcBorders>
                    <w:top w:val="single" w:sz="4" w:space="0" w:color="000000"/>
                    <w:bottom w:val="single" w:sz="4" w:space="0" w:color="000000"/>
                    <w:right w:val="single" w:sz="4" w:space="0" w:color="000000"/>
                  </w:tcBorders>
                  <w:shd w:val="clear" w:color="auto" w:fill="E2EFDA"/>
                  <w:tcMar>
                    <w:top w:w="0" w:type="dxa"/>
                    <w:left w:w="108" w:type="dxa"/>
                    <w:bottom w:w="0" w:type="dxa"/>
                    <w:right w:w="108" w:type="dxa"/>
                  </w:tcMar>
                  <w:textDirection w:val="btLr"/>
                  <w:vAlign w:val="center"/>
                </w:tcPr>
                <w:p w14:paraId="4744E2A0"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All &lt;95% Attendance</w:t>
                  </w:r>
                </w:p>
              </w:tc>
              <w:tc>
                <w:tcPr>
                  <w:tcW w:w="1052" w:type="dxa"/>
                  <w:tcBorders>
                    <w:top w:val="single" w:sz="4" w:space="0" w:color="000000"/>
                    <w:bottom w:val="single" w:sz="4" w:space="0" w:color="000000"/>
                    <w:right w:val="single" w:sz="4" w:space="0" w:color="000000"/>
                  </w:tcBorders>
                  <w:shd w:val="clear" w:color="auto" w:fill="FCE4D6"/>
                  <w:tcMar>
                    <w:top w:w="0" w:type="dxa"/>
                    <w:left w:w="108" w:type="dxa"/>
                    <w:bottom w:w="0" w:type="dxa"/>
                    <w:right w:w="108" w:type="dxa"/>
                  </w:tcMar>
                  <w:textDirection w:val="btLr"/>
                  <w:vAlign w:val="center"/>
                </w:tcPr>
                <w:p w14:paraId="38B6E3A0"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Non PP</w:t>
                  </w:r>
                  <w:r>
                    <w:rPr>
                      <w:rFonts w:ascii="Calibri" w:hAnsi="Calibri" w:cs="Calibri"/>
                      <w:color w:val="000000"/>
                      <w:sz w:val="22"/>
                      <w:szCs w:val="22"/>
                    </w:rPr>
                    <w:br/>
                    <w:t>&lt;95% Attendance</w:t>
                  </w:r>
                </w:p>
              </w:tc>
              <w:tc>
                <w:tcPr>
                  <w:tcW w:w="1052" w:type="dxa"/>
                  <w:tcBorders>
                    <w:top w:val="single" w:sz="4" w:space="0" w:color="000000"/>
                    <w:bottom w:val="single" w:sz="4" w:space="0" w:color="000000"/>
                    <w:right w:val="single" w:sz="4" w:space="0" w:color="000000"/>
                  </w:tcBorders>
                  <w:shd w:val="clear" w:color="auto" w:fill="FCE4D6"/>
                  <w:tcMar>
                    <w:top w:w="0" w:type="dxa"/>
                    <w:left w:w="108" w:type="dxa"/>
                    <w:bottom w:w="0" w:type="dxa"/>
                    <w:right w:w="108" w:type="dxa"/>
                  </w:tcMar>
                  <w:textDirection w:val="btLr"/>
                  <w:vAlign w:val="center"/>
                </w:tcPr>
                <w:p w14:paraId="5B47403F"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Non PP %</w:t>
                  </w:r>
                </w:p>
              </w:tc>
              <w:tc>
                <w:tcPr>
                  <w:tcW w:w="1052" w:type="dxa"/>
                  <w:tcBorders>
                    <w:top w:val="single" w:sz="4" w:space="0" w:color="000000"/>
                    <w:bottom w:val="single" w:sz="4" w:space="0" w:color="000000"/>
                    <w:right w:val="single" w:sz="4" w:space="0" w:color="000000"/>
                  </w:tcBorders>
                  <w:shd w:val="clear" w:color="auto" w:fill="D9E1F2"/>
                  <w:tcMar>
                    <w:top w:w="0" w:type="dxa"/>
                    <w:left w:w="108" w:type="dxa"/>
                    <w:bottom w:w="0" w:type="dxa"/>
                    <w:right w:w="108" w:type="dxa"/>
                  </w:tcMar>
                  <w:textDirection w:val="btLr"/>
                  <w:vAlign w:val="center"/>
                </w:tcPr>
                <w:p w14:paraId="5778A9E5"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PP </w:t>
                  </w:r>
                  <w:r>
                    <w:rPr>
                      <w:rFonts w:ascii="Calibri" w:hAnsi="Calibri" w:cs="Calibri"/>
                      <w:color w:val="000000"/>
                      <w:sz w:val="22"/>
                      <w:szCs w:val="22"/>
                    </w:rPr>
                    <w:br/>
                    <w:t>&lt;95% Attendance</w:t>
                  </w:r>
                </w:p>
              </w:tc>
              <w:tc>
                <w:tcPr>
                  <w:tcW w:w="1052" w:type="dxa"/>
                  <w:tcBorders>
                    <w:top w:val="single" w:sz="4" w:space="0" w:color="000000"/>
                    <w:bottom w:val="single" w:sz="4" w:space="0" w:color="000000"/>
                    <w:right w:val="single" w:sz="4" w:space="0" w:color="000000"/>
                  </w:tcBorders>
                  <w:shd w:val="clear" w:color="auto" w:fill="D9E1F2"/>
                  <w:tcMar>
                    <w:top w:w="0" w:type="dxa"/>
                    <w:left w:w="108" w:type="dxa"/>
                    <w:bottom w:w="0" w:type="dxa"/>
                    <w:right w:w="108" w:type="dxa"/>
                  </w:tcMar>
                  <w:textDirection w:val="btLr"/>
                  <w:vAlign w:val="center"/>
                </w:tcPr>
                <w:p w14:paraId="4B1A9D71"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PP %</w:t>
                  </w:r>
                </w:p>
              </w:tc>
            </w:tr>
            <w:tr w:rsidR="00886967" w14:paraId="1A71E434" w14:textId="77777777" w:rsidTr="00E74093">
              <w:trPr>
                <w:trHeight w:val="286"/>
              </w:trPr>
              <w:tc>
                <w:tcPr>
                  <w:tcW w:w="215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399596"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2020 - 21</w:t>
                  </w:r>
                </w:p>
              </w:tc>
              <w:tc>
                <w:tcPr>
                  <w:tcW w:w="105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2C600C"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907</w:t>
                  </w:r>
                </w:p>
              </w:tc>
              <w:tc>
                <w:tcPr>
                  <w:tcW w:w="105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6DB448"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466</w:t>
                  </w:r>
                </w:p>
              </w:tc>
              <w:tc>
                <w:tcPr>
                  <w:tcW w:w="105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A9F4D0"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161</w:t>
                  </w:r>
                </w:p>
              </w:tc>
              <w:tc>
                <w:tcPr>
                  <w:tcW w:w="1052" w:type="dxa"/>
                  <w:tcBorders>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5A21B46A"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34.55</w:t>
                  </w:r>
                </w:p>
              </w:tc>
              <w:tc>
                <w:tcPr>
                  <w:tcW w:w="105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13333A"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305</w:t>
                  </w:r>
                </w:p>
              </w:tc>
              <w:tc>
                <w:tcPr>
                  <w:tcW w:w="1052" w:type="dxa"/>
                  <w:tcBorders>
                    <w:bottom w:val="single" w:sz="4" w:space="0" w:color="000000"/>
                    <w:right w:val="single" w:sz="4" w:space="0" w:color="000000"/>
                  </w:tcBorders>
                  <w:shd w:val="clear" w:color="auto" w:fill="BDD6EE" w:themeFill="accent1" w:themeFillTint="66"/>
                  <w:noWrap/>
                  <w:tcMar>
                    <w:top w:w="0" w:type="dxa"/>
                    <w:left w:w="108" w:type="dxa"/>
                    <w:bottom w:w="0" w:type="dxa"/>
                    <w:right w:w="108" w:type="dxa"/>
                  </w:tcMar>
                  <w:vAlign w:val="center"/>
                </w:tcPr>
                <w:p w14:paraId="2DA1276A" w14:textId="77777777" w:rsidR="00886967" w:rsidRDefault="00886967" w:rsidP="0010241A">
                  <w:pPr>
                    <w:suppressAutoHyphens w:val="0"/>
                    <w:spacing w:after="0" w:line="240" w:lineRule="auto"/>
                    <w:jc w:val="center"/>
                    <w:rPr>
                      <w:rFonts w:ascii="Calibri" w:hAnsi="Calibri" w:cs="Calibri"/>
                      <w:color w:val="000000"/>
                      <w:sz w:val="22"/>
                      <w:szCs w:val="22"/>
                    </w:rPr>
                  </w:pPr>
                  <w:r>
                    <w:rPr>
                      <w:rFonts w:ascii="Calibri" w:hAnsi="Calibri" w:cs="Calibri"/>
                      <w:color w:val="000000"/>
                      <w:sz w:val="22"/>
                      <w:szCs w:val="22"/>
                    </w:rPr>
                    <w:t>65.45</w:t>
                  </w:r>
                </w:p>
              </w:tc>
            </w:tr>
          </w:tbl>
          <w:p w14:paraId="1E4C5870" w14:textId="77777777" w:rsidR="00886967" w:rsidRDefault="00E74093" w:rsidP="0010241A">
            <w:pPr>
              <w:pStyle w:val="TableRow"/>
              <w:ind w:left="0"/>
              <w:rPr>
                <w:rStyle w:val="PlaceholderText"/>
                <w:color w:val="000000" w:themeColor="text1"/>
              </w:rPr>
            </w:pPr>
            <w:r>
              <w:rPr>
                <w:rStyle w:val="PlaceholderText"/>
                <w:color w:val="000000" w:themeColor="text1"/>
              </w:rPr>
              <w:t xml:space="preserve"> </w:t>
            </w:r>
          </w:p>
          <w:p w14:paraId="71E98758" w14:textId="4609CA6F" w:rsidR="00886967" w:rsidRDefault="00886967" w:rsidP="00886967">
            <w:pPr>
              <w:pStyle w:val="TableRow"/>
              <w:numPr>
                <w:ilvl w:val="0"/>
                <w:numId w:val="2"/>
              </w:numPr>
              <w:rPr>
                <w:rStyle w:val="PlaceholderText"/>
                <w:color w:val="000000" w:themeColor="text1"/>
              </w:rPr>
            </w:pPr>
            <w:r w:rsidRPr="00E74093">
              <w:rPr>
                <w:rStyle w:val="PlaceholderText"/>
                <w:color w:val="000000" w:themeColor="text1"/>
              </w:rPr>
              <w:t xml:space="preserve">As an </w:t>
            </w:r>
            <w:r w:rsidR="00595769">
              <w:rPr>
                <w:rStyle w:val="PlaceholderText"/>
                <w:color w:val="000000" w:themeColor="text1"/>
              </w:rPr>
              <w:t>A</w:t>
            </w:r>
            <w:r w:rsidRPr="00E74093">
              <w:rPr>
                <w:rStyle w:val="PlaceholderText"/>
                <w:color w:val="000000" w:themeColor="text1"/>
              </w:rPr>
              <w:t>cademy</w:t>
            </w:r>
            <w:r w:rsidR="00595769">
              <w:rPr>
                <w:rStyle w:val="PlaceholderText"/>
                <w:color w:val="000000" w:themeColor="text1"/>
              </w:rPr>
              <w:t>,</w:t>
            </w:r>
            <w:r w:rsidRPr="00E74093">
              <w:rPr>
                <w:rStyle w:val="PlaceholderText"/>
                <w:color w:val="000000" w:themeColor="text1"/>
              </w:rPr>
              <w:t xml:space="preserve"> we aim for 95% attendance.  </w:t>
            </w:r>
            <w:r w:rsidR="00E74093" w:rsidRPr="00E74093">
              <w:rPr>
                <w:rStyle w:val="PlaceholderText"/>
                <w:color w:val="000000" w:themeColor="text1"/>
              </w:rPr>
              <w:t>In 2020-21</w:t>
            </w:r>
            <w:r w:rsidR="00595769">
              <w:rPr>
                <w:rStyle w:val="PlaceholderText"/>
                <w:color w:val="000000" w:themeColor="text1"/>
              </w:rPr>
              <w:t>,</w:t>
            </w:r>
            <w:r w:rsidR="00E74093" w:rsidRPr="00E74093">
              <w:rPr>
                <w:rStyle w:val="PlaceholderText"/>
                <w:color w:val="000000" w:themeColor="text1"/>
              </w:rPr>
              <w:t xml:space="preserve"> the strategy set a challenging benchmark of 9</w:t>
            </w:r>
            <w:r w:rsidR="00E74093">
              <w:rPr>
                <w:rStyle w:val="PlaceholderText"/>
                <w:color w:val="000000" w:themeColor="text1"/>
              </w:rPr>
              <w:t xml:space="preserve">5%. The table above highlights </w:t>
            </w:r>
            <w:r w:rsidRPr="00E74093">
              <w:rPr>
                <w:rStyle w:val="PlaceholderText"/>
                <w:color w:val="000000" w:themeColor="text1"/>
              </w:rPr>
              <w:t xml:space="preserve">that in 2020-21 there were 65% of Disadvantaged </w:t>
            </w:r>
            <w:r w:rsidR="00595769">
              <w:rPr>
                <w:rStyle w:val="PlaceholderText"/>
                <w:color w:val="000000" w:themeColor="text1"/>
              </w:rPr>
              <w:t>S</w:t>
            </w:r>
            <w:r w:rsidRPr="00E74093">
              <w:rPr>
                <w:rStyle w:val="PlaceholderText"/>
                <w:color w:val="000000" w:themeColor="text1"/>
              </w:rPr>
              <w:t xml:space="preserve">tudents below the </w:t>
            </w:r>
            <w:r w:rsidR="00595769">
              <w:rPr>
                <w:rStyle w:val="PlaceholderText"/>
                <w:color w:val="000000" w:themeColor="text1"/>
              </w:rPr>
              <w:t xml:space="preserve">expected attendance </w:t>
            </w:r>
            <w:r w:rsidRPr="00E74093">
              <w:rPr>
                <w:rStyle w:val="PlaceholderText"/>
                <w:color w:val="000000" w:themeColor="text1"/>
              </w:rPr>
              <w:t xml:space="preserve">threshold of 95%. </w:t>
            </w:r>
            <w:r w:rsidR="00E74093">
              <w:rPr>
                <w:rStyle w:val="PlaceholderText"/>
                <w:color w:val="000000" w:themeColor="text1"/>
              </w:rPr>
              <w:t xml:space="preserve"> This is compared to 34.55% of Non-D</w:t>
            </w:r>
            <w:r w:rsidRPr="00E74093">
              <w:rPr>
                <w:rStyle w:val="PlaceholderText"/>
                <w:color w:val="000000" w:themeColor="text1"/>
              </w:rPr>
              <w:t xml:space="preserve">isadvantaged </w:t>
            </w:r>
            <w:r w:rsidR="00E74093">
              <w:rPr>
                <w:rStyle w:val="PlaceholderText"/>
                <w:color w:val="000000" w:themeColor="text1"/>
              </w:rPr>
              <w:t xml:space="preserve">Students.  </w:t>
            </w:r>
            <w:r w:rsidRPr="00E74093">
              <w:rPr>
                <w:rStyle w:val="PlaceholderText"/>
                <w:color w:val="000000" w:themeColor="text1"/>
              </w:rPr>
              <w:t>This indicates a significant GAP in overall attendance of Disadvantaged</w:t>
            </w:r>
            <w:r w:rsidR="00E74093">
              <w:rPr>
                <w:rStyle w:val="PlaceholderText"/>
                <w:color w:val="000000" w:themeColor="text1"/>
              </w:rPr>
              <w:t xml:space="preserve"> </w:t>
            </w:r>
            <w:r w:rsidR="00595769">
              <w:rPr>
                <w:rStyle w:val="PlaceholderText"/>
                <w:color w:val="000000" w:themeColor="text1"/>
              </w:rPr>
              <w:t>S</w:t>
            </w:r>
            <w:r w:rsidR="00E74093">
              <w:rPr>
                <w:rStyle w:val="PlaceholderText"/>
                <w:color w:val="000000" w:themeColor="text1"/>
              </w:rPr>
              <w:t xml:space="preserve">tudents.  </w:t>
            </w:r>
          </w:p>
          <w:p w14:paraId="26FA1FD3" w14:textId="37AE151D" w:rsidR="00E74093" w:rsidRDefault="00E74093" w:rsidP="00886967">
            <w:pPr>
              <w:pStyle w:val="TableRow"/>
              <w:numPr>
                <w:ilvl w:val="0"/>
                <w:numId w:val="2"/>
              </w:numPr>
              <w:rPr>
                <w:rStyle w:val="PlaceholderText"/>
                <w:color w:val="000000" w:themeColor="text1"/>
              </w:rPr>
            </w:pPr>
            <w:r>
              <w:rPr>
                <w:rStyle w:val="PlaceholderText"/>
                <w:color w:val="000000" w:themeColor="text1"/>
              </w:rPr>
              <w:t xml:space="preserve">Overall </w:t>
            </w:r>
            <w:r w:rsidR="00595769">
              <w:rPr>
                <w:rStyle w:val="PlaceholderText"/>
                <w:color w:val="000000" w:themeColor="text1"/>
              </w:rPr>
              <w:t>Academy</w:t>
            </w:r>
            <w:r>
              <w:rPr>
                <w:rStyle w:val="PlaceholderText"/>
                <w:color w:val="000000" w:themeColor="text1"/>
              </w:rPr>
              <w:t xml:space="preserve"> attendance in 2020-21 was 92.5%.  </w:t>
            </w:r>
            <w:r w:rsidR="00042638">
              <w:rPr>
                <w:rStyle w:val="PlaceholderText"/>
                <w:color w:val="000000" w:themeColor="text1"/>
              </w:rPr>
              <w:t>Disadvantaged Student attendance was: 91.97% and Non-Disadvantaged Student attendance was:  93.3%</w:t>
            </w:r>
            <w:r w:rsidR="00595769">
              <w:rPr>
                <w:rStyle w:val="PlaceholderText"/>
                <w:color w:val="000000" w:themeColor="text1"/>
              </w:rPr>
              <w:t>,</w:t>
            </w:r>
            <w:r w:rsidR="00042638">
              <w:rPr>
                <w:rStyle w:val="PlaceholderText"/>
                <w:color w:val="000000" w:themeColor="text1"/>
              </w:rPr>
              <w:t xml:space="preserve"> indicating lower overall school attendance for Disadvantaged Students. </w:t>
            </w:r>
          </w:p>
          <w:p w14:paraId="64A3A802" w14:textId="77777777" w:rsidR="00E74093" w:rsidRPr="00DC58BC" w:rsidRDefault="00E74093" w:rsidP="00DC58BC">
            <w:pPr>
              <w:pStyle w:val="TableRow"/>
              <w:numPr>
                <w:ilvl w:val="0"/>
                <w:numId w:val="2"/>
              </w:numPr>
              <w:rPr>
                <w:rStyle w:val="PlaceholderText"/>
                <w:color w:val="000000" w:themeColor="text1"/>
              </w:rPr>
            </w:pPr>
            <w:r>
              <w:rPr>
                <w:rStyle w:val="PlaceholderText"/>
                <w:color w:val="000000" w:themeColor="text1"/>
              </w:rPr>
              <w:t xml:space="preserve">Persistent absence </w:t>
            </w:r>
            <w:r w:rsidR="00042638">
              <w:rPr>
                <w:rStyle w:val="PlaceholderText"/>
                <w:color w:val="000000" w:themeColor="text1"/>
              </w:rPr>
              <w:t>figures in 2020-21 was 21.72% Non-Disadvantaged Student persistent absence figure</w:t>
            </w:r>
            <w:r w:rsidR="00DC58BC">
              <w:rPr>
                <w:rStyle w:val="PlaceholderText"/>
                <w:color w:val="000000" w:themeColor="text1"/>
              </w:rPr>
              <w:t xml:space="preserve"> was: 17.95. Disadvantaged Students persistent absence during 2020-21 was: 24.1% indicating that persistent absence in Disadvantaged Students is higher than that of their Non-Disadvantaged peers. </w:t>
            </w:r>
            <w:r w:rsidR="00042638" w:rsidRPr="00DC58BC">
              <w:rPr>
                <w:rStyle w:val="PlaceholderText"/>
                <w:color w:val="000000" w:themeColor="text1"/>
              </w:rPr>
              <w:t xml:space="preserve">  </w:t>
            </w:r>
            <w:r w:rsidRPr="00DC58BC">
              <w:rPr>
                <w:rStyle w:val="PlaceholderText"/>
                <w:color w:val="000000" w:themeColor="text1"/>
              </w:rPr>
              <w:t xml:space="preserve"> </w:t>
            </w:r>
          </w:p>
          <w:p w14:paraId="75714411" w14:textId="77777777" w:rsidR="00886967" w:rsidRPr="0061639B" w:rsidRDefault="00886967" w:rsidP="0010241A">
            <w:pPr>
              <w:pStyle w:val="TableRow"/>
              <w:ind w:left="0"/>
              <w:rPr>
                <w:rStyle w:val="PlaceholderText"/>
                <w:color w:val="000000" w:themeColor="text1"/>
              </w:rPr>
            </w:pPr>
          </w:p>
        </w:tc>
      </w:tr>
      <w:tr w:rsidR="00886967" w14:paraId="66F17710" w14:textId="77777777" w:rsidTr="0010241A">
        <w:tblPrEx>
          <w:tblLook w:val="0000" w:firstRow="0" w:lastRow="0" w:firstColumn="0" w:lastColumn="0" w:noHBand="0" w:noVBand="0"/>
        </w:tblPrEx>
        <w:trPr>
          <w:gridAfter w:val="1"/>
          <w:wAfter w:w="9" w:type="dxa"/>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E06B" w14:textId="7F74CE45" w:rsidR="00886967" w:rsidRDefault="00886967" w:rsidP="00886967">
            <w:pPr>
              <w:pStyle w:val="TableRow"/>
              <w:numPr>
                <w:ilvl w:val="0"/>
                <w:numId w:val="3"/>
              </w:numPr>
              <w:rPr>
                <w:rStyle w:val="PlaceholderText"/>
                <w:color w:val="auto"/>
              </w:rPr>
            </w:pPr>
            <w:r w:rsidRPr="00AA5984">
              <w:rPr>
                <w:rStyle w:val="PlaceholderText"/>
                <w:color w:val="auto"/>
              </w:rPr>
              <w:lastRenderedPageBreak/>
              <w:t xml:space="preserve">Increased engagement of parents of </w:t>
            </w:r>
            <w:r w:rsidR="00595769">
              <w:rPr>
                <w:rStyle w:val="PlaceholderText"/>
                <w:color w:val="auto"/>
              </w:rPr>
              <w:t>Disadvantaged</w:t>
            </w:r>
            <w:r w:rsidRPr="00AA5984">
              <w:rPr>
                <w:rStyle w:val="PlaceholderText"/>
                <w:color w:val="auto"/>
              </w:rPr>
              <w:t xml:space="preserve"> </w:t>
            </w:r>
            <w:r w:rsidR="00595769">
              <w:rPr>
                <w:rStyle w:val="PlaceholderText"/>
                <w:color w:val="auto"/>
              </w:rPr>
              <w:t>S</w:t>
            </w:r>
            <w:r w:rsidRPr="00AA5984">
              <w:rPr>
                <w:rStyle w:val="PlaceholderText"/>
                <w:color w:val="auto"/>
              </w:rPr>
              <w:t>tudents with</w:t>
            </w:r>
            <w:r>
              <w:rPr>
                <w:rStyle w:val="PlaceholderText"/>
                <w:color w:val="auto"/>
              </w:rPr>
              <w:t>in</w:t>
            </w:r>
            <w:r w:rsidRPr="00AA5984">
              <w:rPr>
                <w:rStyle w:val="PlaceholderText"/>
                <w:color w:val="auto"/>
              </w:rPr>
              <w:t xml:space="preserve"> the Academy. Higher aspirations for PP parents. </w:t>
            </w:r>
          </w:p>
          <w:p w14:paraId="6DD8367F" w14:textId="77777777" w:rsidR="00886967" w:rsidRDefault="00886967" w:rsidP="0010241A">
            <w:pPr>
              <w:pStyle w:val="TableRow"/>
              <w:rPr>
                <w:rStyle w:val="PlaceholderText"/>
                <w:color w:val="auto"/>
              </w:rPr>
            </w:pPr>
          </w:p>
          <w:p w14:paraId="1AAF86DF" w14:textId="77777777" w:rsidR="00886967" w:rsidRDefault="00886967" w:rsidP="0010241A">
            <w:pPr>
              <w:pStyle w:val="TableRow"/>
              <w:rPr>
                <w:rStyle w:val="PlaceholderText"/>
                <w:color w:val="auto"/>
              </w:rPr>
            </w:pPr>
          </w:p>
          <w:p w14:paraId="5AD5DFAB" w14:textId="77777777" w:rsidR="00886967" w:rsidRDefault="00886967" w:rsidP="0010241A">
            <w:pPr>
              <w:pStyle w:val="TableRow"/>
              <w:rPr>
                <w:rStyle w:val="PlaceholderText"/>
                <w:color w:val="auto"/>
              </w:rPr>
            </w:pPr>
          </w:p>
          <w:p w14:paraId="59F287F9" w14:textId="77777777" w:rsidR="00886967" w:rsidRDefault="00886967" w:rsidP="0010241A">
            <w:pPr>
              <w:pStyle w:val="TableRow"/>
              <w:rPr>
                <w:rStyle w:val="PlaceholderText"/>
                <w:color w:val="auto"/>
              </w:rPr>
            </w:pPr>
          </w:p>
          <w:p w14:paraId="48574807" w14:textId="77777777" w:rsidR="00886967" w:rsidRDefault="00886967" w:rsidP="0010241A">
            <w:pPr>
              <w:pStyle w:val="TableRow"/>
              <w:rPr>
                <w:rStyle w:val="PlaceholderText"/>
                <w:color w:val="auto"/>
              </w:rPr>
            </w:pPr>
          </w:p>
          <w:p w14:paraId="577315F3" w14:textId="77777777" w:rsidR="00886967" w:rsidRDefault="00886967" w:rsidP="0010241A">
            <w:pPr>
              <w:pStyle w:val="TableRow"/>
              <w:rPr>
                <w:rStyle w:val="PlaceholderText"/>
                <w:color w:val="auto"/>
              </w:rPr>
            </w:pPr>
          </w:p>
          <w:p w14:paraId="751DEA35" w14:textId="77777777" w:rsidR="00886967" w:rsidRDefault="00886967" w:rsidP="0010241A">
            <w:pPr>
              <w:pStyle w:val="TableRow"/>
              <w:rPr>
                <w:rStyle w:val="PlaceholderText"/>
                <w:color w:val="auto"/>
              </w:rPr>
            </w:pPr>
          </w:p>
          <w:p w14:paraId="17AEF8C7" w14:textId="77777777" w:rsidR="00886967" w:rsidRDefault="00886967" w:rsidP="0010241A">
            <w:pPr>
              <w:pStyle w:val="TableRow"/>
              <w:rPr>
                <w:rStyle w:val="PlaceholderText"/>
                <w:color w:val="auto"/>
              </w:rPr>
            </w:pPr>
          </w:p>
          <w:p w14:paraId="2E8AB825" w14:textId="77777777" w:rsidR="00886967" w:rsidRPr="00AA5984" w:rsidRDefault="00886967" w:rsidP="00E74093">
            <w:pPr>
              <w:pStyle w:val="TableRow"/>
              <w:ind w:left="0"/>
              <w:rPr>
                <w:rStyle w:val="PlaceholderText"/>
                <w:color w:val="auto"/>
              </w:rPr>
            </w:pP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32B8" w14:textId="36771FAB" w:rsidR="00886967" w:rsidRPr="00E74093" w:rsidRDefault="00886967" w:rsidP="00E74093">
            <w:pPr>
              <w:pStyle w:val="TableRow"/>
              <w:numPr>
                <w:ilvl w:val="0"/>
                <w:numId w:val="2"/>
              </w:numPr>
              <w:rPr>
                <w:rStyle w:val="PlaceholderText"/>
                <w:sz w:val="22"/>
              </w:rPr>
            </w:pPr>
            <w:r w:rsidRPr="00E74093">
              <w:rPr>
                <w:rStyle w:val="PlaceholderText"/>
                <w:color w:val="000000" w:themeColor="text1"/>
                <w:sz w:val="22"/>
              </w:rPr>
              <w:t>Parents</w:t>
            </w:r>
            <w:r w:rsidR="00595769">
              <w:rPr>
                <w:rStyle w:val="PlaceholderText"/>
                <w:color w:val="000000" w:themeColor="text1"/>
                <w:sz w:val="22"/>
              </w:rPr>
              <w:t>’ / carers’</w:t>
            </w:r>
            <w:r w:rsidRPr="00E74093">
              <w:rPr>
                <w:rStyle w:val="PlaceholderText"/>
                <w:color w:val="000000" w:themeColor="text1"/>
                <w:sz w:val="22"/>
              </w:rPr>
              <w:t xml:space="preserve"> evenings have been effected by the impact of COVID 19. Based on the regulations/safety aspects associated with Covid 19 – our normal amount of parents evening </w:t>
            </w:r>
            <w:r w:rsidR="00E74093" w:rsidRPr="00E74093">
              <w:rPr>
                <w:rStyle w:val="PlaceholderText"/>
                <w:color w:val="000000" w:themeColor="text1"/>
                <w:sz w:val="22"/>
              </w:rPr>
              <w:t xml:space="preserve">schedule </w:t>
            </w:r>
            <w:r w:rsidRPr="00E74093">
              <w:rPr>
                <w:rStyle w:val="PlaceholderText"/>
                <w:color w:val="000000" w:themeColor="text1"/>
                <w:sz w:val="22"/>
              </w:rPr>
              <w:t>did not take place.  Parental engagement in 2021-22 remains a priority.  Our strategy</w:t>
            </w:r>
            <w:r w:rsidR="00E74093">
              <w:rPr>
                <w:rStyle w:val="PlaceholderText"/>
                <w:color w:val="000000" w:themeColor="text1"/>
                <w:sz w:val="22"/>
              </w:rPr>
              <w:t>,</w:t>
            </w:r>
            <w:r w:rsidRPr="00E74093">
              <w:rPr>
                <w:rStyle w:val="PlaceholderText"/>
                <w:color w:val="000000" w:themeColor="text1"/>
                <w:sz w:val="22"/>
              </w:rPr>
              <w:t xml:space="preserve"> was to engage in a phone call</w:t>
            </w:r>
            <w:r w:rsidR="00E74093" w:rsidRPr="00E74093">
              <w:rPr>
                <w:rStyle w:val="PlaceholderText"/>
                <w:color w:val="000000" w:themeColor="text1"/>
                <w:sz w:val="22"/>
              </w:rPr>
              <w:t xml:space="preserve">/ </w:t>
            </w:r>
            <w:r w:rsidR="00E74093">
              <w:rPr>
                <w:rStyle w:val="PlaceholderText"/>
                <w:color w:val="000000" w:themeColor="text1"/>
                <w:sz w:val="22"/>
              </w:rPr>
              <w:t xml:space="preserve">MS </w:t>
            </w:r>
            <w:r w:rsidR="00E74093" w:rsidRPr="00E74093">
              <w:rPr>
                <w:rStyle w:val="PlaceholderText"/>
                <w:color w:val="000000" w:themeColor="text1"/>
                <w:sz w:val="22"/>
              </w:rPr>
              <w:t>Teams call</w:t>
            </w:r>
            <w:r w:rsidRPr="00E74093">
              <w:rPr>
                <w:rStyle w:val="PlaceholderText"/>
                <w:color w:val="000000" w:themeColor="text1"/>
                <w:sz w:val="22"/>
              </w:rPr>
              <w:t xml:space="preserve"> with parents regarding progress.  99% of all parents were contacted and spoken to but were unable to visit the school.  </w:t>
            </w:r>
            <w:r w:rsidR="00E74093">
              <w:rPr>
                <w:rStyle w:val="PlaceholderText"/>
                <w:color w:val="000000" w:themeColor="text1"/>
                <w:sz w:val="22"/>
              </w:rPr>
              <w:t xml:space="preserve">Engagement in 2021-22 will be wider than parent’s evenings and will continue to be a priority. </w:t>
            </w:r>
          </w:p>
        </w:tc>
      </w:tr>
      <w:tr w:rsidR="00886967" w14:paraId="0DE36585" w14:textId="77777777" w:rsidTr="0010241A">
        <w:tblPrEx>
          <w:tblLook w:val="0000" w:firstRow="0" w:lastRow="0" w:firstColumn="0" w:lastColumn="0" w:noHBand="0" w:noVBand="0"/>
        </w:tblPrEx>
        <w:trPr>
          <w:gridAfter w:val="1"/>
          <w:wAfter w:w="9" w:type="dxa"/>
        </w:trPr>
        <w:tc>
          <w:tcPr>
            <w:tcW w:w="9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7FD2" w14:textId="77777777" w:rsidR="00886967" w:rsidRPr="00042638" w:rsidRDefault="00042638" w:rsidP="0010241A">
            <w:pPr>
              <w:suppressAutoHyphens w:val="0"/>
              <w:autoSpaceDN/>
              <w:spacing w:before="120"/>
              <w:rPr>
                <w:b/>
                <w:color w:val="auto"/>
                <w:u w:val="single"/>
                <w:lang w:eastAsia="en-US"/>
              </w:rPr>
            </w:pPr>
            <w:r w:rsidRPr="00042638">
              <w:rPr>
                <w:b/>
                <w:color w:val="auto"/>
                <w:u w:val="single"/>
                <w:lang w:eastAsia="en-US"/>
              </w:rPr>
              <w:t xml:space="preserve">2020-21 in year data Analysis.   Core subjects – Year 8 and Year 9. </w:t>
            </w:r>
          </w:p>
          <w:p w14:paraId="1541816B" w14:textId="23C0475D" w:rsidR="00042638" w:rsidRDefault="00DC58BC" w:rsidP="00DC58BC">
            <w:pPr>
              <w:pStyle w:val="ListParagraph"/>
              <w:numPr>
                <w:ilvl w:val="0"/>
                <w:numId w:val="2"/>
              </w:numPr>
              <w:suppressAutoHyphens w:val="0"/>
              <w:autoSpaceDN/>
              <w:spacing w:before="120"/>
              <w:rPr>
                <w:color w:val="auto"/>
                <w:lang w:eastAsia="en-US"/>
              </w:rPr>
            </w:pPr>
            <w:r w:rsidRPr="00DC58BC">
              <w:rPr>
                <w:color w:val="auto"/>
                <w:lang w:eastAsia="en-US"/>
              </w:rPr>
              <w:t>In 2020-21</w:t>
            </w:r>
            <w:r w:rsidR="00595769">
              <w:rPr>
                <w:color w:val="auto"/>
                <w:lang w:eastAsia="en-US"/>
              </w:rPr>
              <w:t>,</w:t>
            </w:r>
            <w:r w:rsidRPr="00DC58BC">
              <w:rPr>
                <w:color w:val="auto"/>
                <w:lang w:eastAsia="en-US"/>
              </w:rPr>
              <w:t xml:space="preserve"> Core subjects</w:t>
            </w:r>
            <w:r w:rsidR="00595769">
              <w:rPr>
                <w:color w:val="auto"/>
                <w:lang w:eastAsia="en-US"/>
              </w:rPr>
              <w:t>:</w:t>
            </w:r>
            <w:r w:rsidRPr="00DC58BC">
              <w:rPr>
                <w:color w:val="auto"/>
                <w:lang w:eastAsia="en-US"/>
              </w:rPr>
              <w:t xml:space="preserve"> English, Maths and Science </w:t>
            </w:r>
            <w:r w:rsidR="00595769">
              <w:rPr>
                <w:color w:val="auto"/>
                <w:lang w:eastAsia="en-US"/>
              </w:rPr>
              <w:t xml:space="preserve">achievement </w:t>
            </w:r>
            <w:r w:rsidRPr="00DC58BC">
              <w:rPr>
                <w:color w:val="auto"/>
                <w:lang w:eastAsia="en-US"/>
              </w:rPr>
              <w:t xml:space="preserve">tracking shows that Year 8 students made equal amounts of progress in the period AP2 to AP5.  The increase in all core subjects was +0.33 for Disadvantaged and Non-Disadvantaged students. </w:t>
            </w:r>
          </w:p>
          <w:p w14:paraId="0D0EAF74" w14:textId="2DA3D435" w:rsidR="00886967" w:rsidRPr="00192C37" w:rsidRDefault="00DC58BC" w:rsidP="0010241A">
            <w:pPr>
              <w:pStyle w:val="ListParagraph"/>
              <w:numPr>
                <w:ilvl w:val="0"/>
                <w:numId w:val="2"/>
              </w:numPr>
              <w:suppressAutoHyphens w:val="0"/>
              <w:autoSpaceDN/>
              <w:spacing w:before="120"/>
              <w:rPr>
                <w:color w:val="auto"/>
                <w:lang w:eastAsia="en-US"/>
              </w:rPr>
            </w:pPr>
            <w:r w:rsidRPr="00DC58BC">
              <w:rPr>
                <w:color w:val="auto"/>
                <w:lang w:eastAsia="en-US"/>
              </w:rPr>
              <w:t>In 2020-21</w:t>
            </w:r>
            <w:r w:rsidR="00595769">
              <w:rPr>
                <w:color w:val="auto"/>
                <w:lang w:eastAsia="en-US"/>
              </w:rPr>
              <w:t>,</w:t>
            </w:r>
            <w:r w:rsidRPr="00DC58BC">
              <w:rPr>
                <w:color w:val="auto"/>
                <w:lang w:eastAsia="en-US"/>
              </w:rPr>
              <w:t xml:space="preserve"> Core subjects</w:t>
            </w:r>
            <w:r w:rsidR="00595769">
              <w:rPr>
                <w:color w:val="auto"/>
                <w:lang w:eastAsia="en-US"/>
              </w:rPr>
              <w:t>:</w:t>
            </w:r>
            <w:r w:rsidRPr="00DC58BC">
              <w:rPr>
                <w:color w:val="auto"/>
                <w:lang w:eastAsia="en-US"/>
              </w:rPr>
              <w:t xml:space="preserve"> English, Maths and Sc</w:t>
            </w:r>
            <w:r>
              <w:rPr>
                <w:color w:val="auto"/>
                <w:lang w:eastAsia="en-US"/>
              </w:rPr>
              <w:t xml:space="preserve">ience </w:t>
            </w:r>
            <w:r w:rsidR="00595769">
              <w:rPr>
                <w:color w:val="auto"/>
                <w:lang w:eastAsia="en-US"/>
              </w:rPr>
              <w:t xml:space="preserve">achievement </w:t>
            </w:r>
            <w:r>
              <w:rPr>
                <w:color w:val="auto"/>
                <w:lang w:eastAsia="en-US"/>
              </w:rPr>
              <w:t>tracking shows that Year 9 students made varying rates</w:t>
            </w:r>
            <w:r w:rsidRPr="00DC58BC">
              <w:rPr>
                <w:color w:val="auto"/>
                <w:lang w:eastAsia="en-US"/>
              </w:rPr>
              <w:t xml:space="preserve"> of progress </w:t>
            </w:r>
            <w:r>
              <w:rPr>
                <w:color w:val="auto"/>
                <w:lang w:eastAsia="en-US"/>
              </w:rPr>
              <w:t xml:space="preserve">in the period AP2 to </w:t>
            </w:r>
            <w:r>
              <w:rPr>
                <w:color w:val="auto"/>
                <w:lang w:eastAsia="en-US"/>
              </w:rPr>
              <w:lastRenderedPageBreak/>
              <w:t xml:space="preserve">AP5. In English, Disadvantaged Students made +0.33 grades </w:t>
            </w:r>
            <w:r w:rsidR="00192C37">
              <w:rPr>
                <w:color w:val="auto"/>
                <w:lang w:eastAsia="en-US"/>
              </w:rPr>
              <w:t xml:space="preserve">of </w:t>
            </w:r>
            <w:r>
              <w:rPr>
                <w:color w:val="auto"/>
                <w:lang w:eastAsia="en-US"/>
              </w:rPr>
              <w:t xml:space="preserve">progress compared to Non-Disadvantaged Students </w:t>
            </w:r>
            <w:r w:rsidR="00192C37">
              <w:rPr>
                <w:color w:val="auto"/>
                <w:lang w:eastAsia="en-US"/>
              </w:rPr>
              <w:t xml:space="preserve">who </w:t>
            </w:r>
            <w:r>
              <w:rPr>
                <w:color w:val="auto"/>
                <w:lang w:eastAsia="en-US"/>
              </w:rPr>
              <w:t>made +0.66 grades</w:t>
            </w:r>
            <w:r w:rsidR="00192C37">
              <w:rPr>
                <w:color w:val="auto"/>
                <w:lang w:eastAsia="en-US"/>
              </w:rPr>
              <w:t xml:space="preserve"> of progress. In Maths, Disadvantaged Students made more progress that Non-Disadvantaged Students equating to +0.33 grades of progress. In Science, both Disadvantaged and Non-Disadvantaged students made +0.66 grades of progress during the academic year.    </w:t>
            </w:r>
          </w:p>
          <w:p w14:paraId="076DB6DB" w14:textId="0110B805" w:rsidR="00886967" w:rsidRPr="00A93977" w:rsidRDefault="00192C37" w:rsidP="0010241A">
            <w:pPr>
              <w:suppressAutoHyphens w:val="0"/>
              <w:autoSpaceDN/>
              <w:spacing w:before="120"/>
              <w:rPr>
                <w:color w:val="auto"/>
                <w:lang w:eastAsia="en-US"/>
              </w:rPr>
            </w:pPr>
            <w:r>
              <w:rPr>
                <w:color w:val="auto"/>
                <w:lang w:eastAsia="en-US"/>
              </w:rPr>
              <w:t xml:space="preserve">The analysis above </w:t>
            </w:r>
            <w:r w:rsidR="00886967" w:rsidRPr="00A93977">
              <w:rPr>
                <w:color w:val="auto"/>
                <w:lang w:eastAsia="en-US"/>
              </w:rPr>
              <w:t>indicate</w:t>
            </w:r>
            <w:r>
              <w:rPr>
                <w:color w:val="auto"/>
                <w:lang w:eastAsia="en-US"/>
              </w:rPr>
              <w:t>s</w:t>
            </w:r>
            <w:r w:rsidR="00886967" w:rsidRPr="00A93977">
              <w:rPr>
                <w:color w:val="auto"/>
                <w:lang w:eastAsia="en-US"/>
              </w:rPr>
              <w:t xml:space="preserve"> </w:t>
            </w:r>
            <w:r>
              <w:rPr>
                <w:color w:val="auto"/>
                <w:lang w:eastAsia="en-US"/>
              </w:rPr>
              <w:t xml:space="preserve">an overall </w:t>
            </w:r>
            <w:r w:rsidR="00886967">
              <w:rPr>
                <w:color w:val="auto"/>
                <w:lang w:eastAsia="en-US"/>
              </w:rPr>
              <w:t xml:space="preserve">increase in attainment/progress for years 8/9 </w:t>
            </w:r>
            <w:r>
              <w:rPr>
                <w:color w:val="auto"/>
                <w:lang w:eastAsia="en-US"/>
              </w:rPr>
              <w:t xml:space="preserve">Disadvantaged Students which was a targeted strategy during 2020-21. As a result of Covid 19, we also see </w:t>
            </w:r>
            <w:r w:rsidR="00886967">
              <w:rPr>
                <w:color w:val="auto"/>
                <w:lang w:eastAsia="en-US"/>
              </w:rPr>
              <w:t xml:space="preserve">clear indications of lost learning and this will need to be a </w:t>
            </w:r>
            <w:r>
              <w:rPr>
                <w:color w:val="auto"/>
                <w:lang w:eastAsia="en-US"/>
              </w:rPr>
              <w:t>feature of middle leadership during 2021-22. The “E</w:t>
            </w:r>
            <w:r w:rsidR="00886967">
              <w:rPr>
                <w:color w:val="auto"/>
                <w:lang w:eastAsia="en-US"/>
              </w:rPr>
              <w:t xml:space="preserve">xcellence at Rockwood” </w:t>
            </w:r>
            <w:r>
              <w:rPr>
                <w:color w:val="auto"/>
                <w:lang w:eastAsia="en-US"/>
              </w:rPr>
              <w:t xml:space="preserve">online and live teaching strategy provided the basis that </w:t>
            </w:r>
            <w:r w:rsidR="00886967">
              <w:rPr>
                <w:color w:val="auto"/>
                <w:lang w:eastAsia="en-US"/>
              </w:rPr>
              <w:t>ensure</w:t>
            </w:r>
            <w:r>
              <w:rPr>
                <w:color w:val="auto"/>
                <w:lang w:eastAsia="en-US"/>
              </w:rPr>
              <w:t>d</w:t>
            </w:r>
            <w:r w:rsidR="00886967">
              <w:rPr>
                <w:color w:val="auto"/>
                <w:lang w:eastAsia="en-US"/>
              </w:rPr>
              <w:t xml:space="preserve"> “mastery”</w:t>
            </w:r>
            <w:r>
              <w:rPr>
                <w:color w:val="auto"/>
                <w:lang w:eastAsia="en-US"/>
              </w:rPr>
              <w:t xml:space="preserve"> teaching at Rockwood Academy, leading to in year progress for Disadvantaged Students.   </w:t>
            </w:r>
          </w:p>
          <w:p w14:paraId="170CAE80" w14:textId="77777777" w:rsidR="00886967" w:rsidRPr="002D06E0" w:rsidRDefault="00886967" w:rsidP="0010241A">
            <w:pPr>
              <w:suppressAutoHyphens w:val="0"/>
              <w:autoSpaceDN/>
              <w:spacing w:before="120"/>
              <w:rPr>
                <w:b/>
                <w:color w:val="auto"/>
                <w:u w:val="single"/>
                <w:lang w:eastAsia="en-US"/>
              </w:rPr>
            </w:pPr>
            <w:r>
              <w:rPr>
                <w:b/>
                <w:color w:val="auto"/>
                <w:u w:val="single"/>
                <w:lang w:eastAsia="en-US"/>
              </w:rPr>
              <w:t xml:space="preserve">Final summary – Review 2020-21.  </w:t>
            </w:r>
          </w:p>
          <w:p w14:paraId="5C8F2E27" w14:textId="241DB52E" w:rsidR="00886967" w:rsidRDefault="00886967" w:rsidP="0010241A">
            <w:pPr>
              <w:suppressAutoHyphens w:val="0"/>
              <w:autoSpaceDN/>
              <w:spacing w:before="120"/>
              <w:rPr>
                <w:color w:val="auto"/>
                <w:lang w:eastAsia="en-US"/>
              </w:rPr>
            </w:pPr>
            <w:r w:rsidRPr="00A50F03">
              <w:rPr>
                <w:color w:val="auto"/>
                <w:lang w:eastAsia="en-US"/>
              </w:rPr>
              <w:t>Our assessment of the reasons</w:t>
            </w:r>
            <w:r w:rsidR="00595769">
              <w:rPr>
                <w:color w:val="auto"/>
                <w:lang w:eastAsia="en-US"/>
              </w:rPr>
              <w:t xml:space="preserve"> </w:t>
            </w:r>
            <w:r>
              <w:rPr>
                <w:color w:val="auto"/>
                <w:lang w:eastAsia="en-US"/>
              </w:rPr>
              <w:t>/ analys</w:t>
            </w:r>
            <w:r w:rsidR="00595769">
              <w:rPr>
                <w:color w:val="auto"/>
                <w:lang w:eastAsia="en-US"/>
              </w:rPr>
              <w:t>e</w:t>
            </w:r>
            <w:r>
              <w:rPr>
                <w:color w:val="auto"/>
                <w:lang w:eastAsia="en-US"/>
              </w:rPr>
              <w:t>s</w:t>
            </w:r>
            <w:r w:rsidRPr="00A50F03">
              <w:rPr>
                <w:color w:val="auto"/>
                <w:lang w:eastAsia="en-US"/>
              </w:rPr>
              <w:t xml:space="preserve"> for </w:t>
            </w:r>
            <w:r>
              <w:rPr>
                <w:color w:val="auto"/>
                <w:lang w:eastAsia="en-US"/>
              </w:rPr>
              <w:t xml:space="preserve">some of </w:t>
            </w:r>
            <w:r w:rsidRPr="00A50F03">
              <w:rPr>
                <w:color w:val="auto"/>
                <w:lang w:eastAsia="en-US"/>
              </w:rPr>
              <w:t xml:space="preserve">these outcomes points primarily to </w:t>
            </w:r>
            <w:r w:rsidR="003F0CB8">
              <w:rPr>
                <w:color w:val="auto"/>
                <w:lang w:eastAsia="en-US"/>
              </w:rPr>
              <w:t xml:space="preserve">the </w:t>
            </w:r>
            <w:r w:rsidRPr="00A50F03">
              <w:rPr>
                <w:color w:val="auto"/>
                <w:lang w:eastAsia="en-US"/>
              </w:rPr>
              <w:t>Covid-19 impact, which disrupted all of our subject areas to varying degrees.</w:t>
            </w:r>
            <w:r>
              <w:rPr>
                <w:color w:val="auto"/>
                <w:lang w:eastAsia="en-US"/>
              </w:rPr>
              <w:t xml:space="preserve"> We were</w:t>
            </w:r>
            <w:r w:rsidR="00595769">
              <w:rPr>
                <w:color w:val="auto"/>
                <w:lang w:eastAsia="en-US"/>
              </w:rPr>
              <w:t>,</w:t>
            </w:r>
            <w:r>
              <w:rPr>
                <w:color w:val="auto"/>
                <w:lang w:eastAsia="en-US"/>
              </w:rPr>
              <w:t xml:space="preserve"> </w:t>
            </w:r>
            <w:r w:rsidR="003F0CB8">
              <w:rPr>
                <w:color w:val="auto"/>
                <w:lang w:eastAsia="en-US"/>
              </w:rPr>
              <w:t>however, delighted that overall achievement data for Disadvantaged S</w:t>
            </w:r>
            <w:r>
              <w:rPr>
                <w:color w:val="auto"/>
                <w:lang w:eastAsia="en-US"/>
              </w:rPr>
              <w:t>tudents remains well above national</w:t>
            </w:r>
            <w:r w:rsidR="003F0CB8">
              <w:rPr>
                <w:color w:val="auto"/>
                <w:lang w:eastAsia="en-US"/>
              </w:rPr>
              <w:t xml:space="preserve"> averag</w:t>
            </w:r>
            <w:r w:rsidR="00595769">
              <w:rPr>
                <w:color w:val="auto"/>
                <w:lang w:eastAsia="en-US"/>
              </w:rPr>
              <w:t>e</w:t>
            </w:r>
            <w:r w:rsidR="003F0CB8">
              <w:rPr>
                <w:color w:val="auto"/>
                <w:lang w:eastAsia="en-US"/>
              </w:rPr>
              <w:t>. The performance of Disadvantaged S</w:t>
            </w:r>
            <w:r>
              <w:rPr>
                <w:color w:val="auto"/>
                <w:lang w:eastAsia="en-US"/>
              </w:rPr>
              <w:t>tudents in terms of progress from relative startin</w:t>
            </w:r>
            <w:r w:rsidR="003F0CB8">
              <w:rPr>
                <w:color w:val="auto"/>
                <w:lang w:eastAsia="en-US"/>
              </w:rPr>
              <w:t>g points was also in line with N</w:t>
            </w:r>
            <w:r>
              <w:rPr>
                <w:color w:val="auto"/>
                <w:lang w:eastAsia="en-US"/>
              </w:rPr>
              <w:t>on-</w:t>
            </w:r>
            <w:r w:rsidR="003F0CB8">
              <w:rPr>
                <w:color w:val="auto"/>
                <w:lang w:eastAsia="en-US"/>
              </w:rPr>
              <w:t>D</w:t>
            </w:r>
            <w:r>
              <w:rPr>
                <w:color w:val="auto"/>
                <w:lang w:eastAsia="en-US"/>
              </w:rPr>
              <w:t xml:space="preserve">isadvantaged students.  </w:t>
            </w:r>
            <w:r w:rsidRPr="00A50F03">
              <w:rPr>
                <w:color w:val="auto"/>
                <w:lang w:eastAsia="en-US"/>
              </w:rPr>
              <w:t xml:space="preserve"> </w:t>
            </w:r>
          </w:p>
          <w:p w14:paraId="7BEA7D35" w14:textId="1847EF40" w:rsidR="00886967" w:rsidRPr="00A50F03" w:rsidRDefault="00886967" w:rsidP="0010241A">
            <w:pPr>
              <w:suppressAutoHyphens w:val="0"/>
              <w:autoSpaceDN/>
              <w:spacing w:before="120"/>
              <w:rPr>
                <w:color w:val="auto"/>
                <w:lang w:eastAsia="en-US"/>
              </w:rPr>
            </w:pPr>
            <w:r w:rsidRPr="00A50F03">
              <w:rPr>
                <w:color w:val="auto"/>
                <w:lang w:eastAsia="en-US"/>
              </w:rPr>
              <w:t>As evidenced in schools across the country, partial</w:t>
            </w:r>
            <w:r>
              <w:rPr>
                <w:color w:val="auto"/>
                <w:lang w:eastAsia="en-US"/>
              </w:rPr>
              <w:t xml:space="preserve"> closure could have been significantly </w:t>
            </w:r>
            <w:r w:rsidR="003F0CB8">
              <w:rPr>
                <w:color w:val="auto"/>
                <w:lang w:eastAsia="en-US"/>
              </w:rPr>
              <w:t>detrimental to our Disadvantaged Students</w:t>
            </w:r>
            <w:r w:rsidRPr="00A50F03">
              <w:rPr>
                <w:color w:val="auto"/>
                <w:lang w:eastAsia="en-US"/>
              </w:rPr>
              <w:t xml:space="preserve"> </w:t>
            </w:r>
            <w:r>
              <w:rPr>
                <w:color w:val="auto"/>
                <w:lang w:eastAsia="en-US"/>
              </w:rPr>
              <w:t>because</w:t>
            </w:r>
            <w:r w:rsidRPr="00A50F03">
              <w:rPr>
                <w:color w:val="auto"/>
                <w:lang w:eastAsia="en-US"/>
              </w:rPr>
              <w:t xml:space="preserve"> they were not able to benefit from our </w:t>
            </w:r>
            <w:r w:rsidR="00595769">
              <w:rPr>
                <w:color w:val="auto"/>
                <w:lang w:eastAsia="en-US"/>
              </w:rPr>
              <w:t>P</w:t>
            </w:r>
            <w:r w:rsidRPr="00A50F03">
              <w:rPr>
                <w:color w:val="auto"/>
                <w:lang w:eastAsia="en-US"/>
              </w:rPr>
              <w:t xml:space="preserve">upil </w:t>
            </w:r>
            <w:r w:rsidR="00595769">
              <w:rPr>
                <w:color w:val="auto"/>
                <w:lang w:eastAsia="en-US"/>
              </w:rPr>
              <w:t>P</w:t>
            </w:r>
            <w:r w:rsidRPr="00A50F03">
              <w:rPr>
                <w:color w:val="auto"/>
                <w:lang w:eastAsia="en-US"/>
              </w:rPr>
              <w:t>remium funded improvements to teaching and targeted interventions to the degree that we intended.</w:t>
            </w:r>
            <w:r>
              <w:rPr>
                <w:color w:val="auto"/>
                <w:lang w:eastAsia="en-US"/>
              </w:rPr>
              <w:t xml:space="preserve"> Our Year 11 cohort have</w:t>
            </w:r>
            <w:r w:rsidR="00595769">
              <w:rPr>
                <w:color w:val="auto"/>
                <w:lang w:eastAsia="en-US"/>
              </w:rPr>
              <w:t>,</w:t>
            </w:r>
            <w:r>
              <w:rPr>
                <w:color w:val="auto"/>
                <w:lang w:eastAsia="en-US"/>
              </w:rPr>
              <w:t xml:space="preserve"> however</w:t>
            </w:r>
            <w:r w:rsidR="00595769">
              <w:rPr>
                <w:color w:val="auto"/>
                <w:lang w:eastAsia="en-US"/>
              </w:rPr>
              <w:t>,</w:t>
            </w:r>
            <w:r>
              <w:rPr>
                <w:color w:val="auto"/>
                <w:lang w:eastAsia="en-US"/>
              </w:rPr>
              <w:t xml:space="preserve"> benefited from 5 years of support and intervention. </w:t>
            </w:r>
            <w:r w:rsidRPr="00A50F03">
              <w:rPr>
                <w:color w:val="auto"/>
                <w:lang w:eastAsia="en-US"/>
              </w:rPr>
              <w:t xml:space="preserve">The impact was mitigated by our resolution to maintain a high quality </w:t>
            </w:r>
            <w:r>
              <w:rPr>
                <w:color w:val="auto"/>
                <w:lang w:eastAsia="en-US"/>
              </w:rPr>
              <w:t xml:space="preserve">online </w:t>
            </w:r>
            <w:r w:rsidRPr="00A50F03">
              <w:rPr>
                <w:color w:val="auto"/>
                <w:lang w:eastAsia="en-US"/>
              </w:rPr>
              <w:t>curriculum, including during periods of partial closure, which was aided by use of online resources such as those provided by Oak National Academy</w:t>
            </w:r>
            <w:r>
              <w:rPr>
                <w:color w:val="auto"/>
                <w:lang w:eastAsia="en-US"/>
              </w:rPr>
              <w:t xml:space="preserve"> and CPD</w:t>
            </w:r>
            <w:r w:rsidR="00595769">
              <w:rPr>
                <w:color w:val="auto"/>
                <w:lang w:eastAsia="en-US"/>
              </w:rPr>
              <w:t xml:space="preserve">, </w:t>
            </w:r>
            <w:r>
              <w:rPr>
                <w:color w:val="auto"/>
                <w:lang w:eastAsia="en-US"/>
              </w:rPr>
              <w:t>which targeted the use of “</w:t>
            </w:r>
            <w:r w:rsidR="00595769">
              <w:rPr>
                <w:color w:val="auto"/>
                <w:lang w:eastAsia="en-US"/>
              </w:rPr>
              <w:t>M</w:t>
            </w:r>
            <w:r>
              <w:rPr>
                <w:color w:val="auto"/>
                <w:lang w:eastAsia="en-US"/>
              </w:rPr>
              <w:t>astery” approaches within online teaching</w:t>
            </w:r>
            <w:r w:rsidRPr="00A50F03">
              <w:rPr>
                <w:color w:val="auto"/>
                <w:lang w:eastAsia="en-US"/>
              </w:rPr>
              <w:t>.</w:t>
            </w:r>
            <w:r>
              <w:rPr>
                <w:color w:val="auto"/>
                <w:lang w:eastAsia="en-US"/>
              </w:rPr>
              <w:t xml:space="preserve">  The dedication of our staff to create evidence rich portfolios were </w:t>
            </w:r>
            <w:r w:rsidR="003F0CB8">
              <w:rPr>
                <w:color w:val="auto"/>
                <w:lang w:eastAsia="en-US"/>
              </w:rPr>
              <w:t>at</w:t>
            </w:r>
            <w:r>
              <w:rPr>
                <w:color w:val="auto"/>
                <w:lang w:eastAsia="en-US"/>
              </w:rPr>
              <w:t xml:space="preserve"> the heart of our achievements.  </w:t>
            </w:r>
          </w:p>
          <w:p w14:paraId="6DD261CC" w14:textId="1AB22D77" w:rsidR="00886967" w:rsidRPr="00A50F03" w:rsidRDefault="00886967" w:rsidP="0010241A">
            <w:pPr>
              <w:suppressAutoHyphens w:val="0"/>
              <w:autoSpaceDN/>
              <w:rPr>
                <w:color w:val="auto"/>
                <w:lang w:eastAsia="en-US"/>
              </w:rPr>
            </w:pPr>
            <w:r w:rsidRPr="00A50F03">
              <w:rPr>
                <w:color w:val="auto"/>
                <w:lang w:eastAsia="en-US"/>
              </w:rPr>
              <w:t>Although overall attendance in 2020/21 was lower than</w:t>
            </w:r>
            <w:r w:rsidR="003F0CB8">
              <w:rPr>
                <w:color w:val="auto"/>
                <w:lang w:eastAsia="en-US"/>
              </w:rPr>
              <w:t xml:space="preserve"> expected for Disadvantaged S</w:t>
            </w:r>
            <w:r>
              <w:rPr>
                <w:color w:val="auto"/>
                <w:lang w:eastAsia="en-US"/>
              </w:rPr>
              <w:t>tudents</w:t>
            </w:r>
            <w:r w:rsidR="00595769">
              <w:rPr>
                <w:color w:val="auto"/>
                <w:lang w:eastAsia="en-US"/>
              </w:rPr>
              <w:t>,</w:t>
            </w:r>
            <w:r w:rsidRPr="00A50F03">
              <w:rPr>
                <w:color w:val="auto"/>
                <w:lang w:eastAsia="en-US"/>
              </w:rPr>
              <w:t xml:space="preserve"> it was higher than the national a</w:t>
            </w:r>
            <w:r>
              <w:rPr>
                <w:color w:val="auto"/>
                <w:lang w:eastAsia="en-US"/>
              </w:rPr>
              <w:t>verage. At times</w:t>
            </w:r>
            <w:r w:rsidR="003F0CB8">
              <w:rPr>
                <w:color w:val="auto"/>
                <w:lang w:eastAsia="en-US"/>
              </w:rPr>
              <w:t>,</w:t>
            </w:r>
            <w:r>
              <w:rPr>
                <w:color w:val="auto"/>
                <w:lang w:eastAsia="en-US"/>
              </w:rPr>
              <w:t xml:space="preserve"> when all students</w:t>
            </w:r>
            <w:r w:rsidRPr="00A50F03">
              <w:rPr>
                <w:color w:val="auto"/>
                <w:lang w:eastAsia="en-US"/>
              </w:rPr>
              <w:t xml:space="preserve"> were expected t</w:t>
            </w:r>
            <w:r w:rsidR="003F0CB8">
              <w:rPr>
                <w:color w:val="auto"/>
                <w:lang w:eastAsia="en-US"/>
              </w:rPr>
              <w:t>o attend school, absence among Disadvantaged Students</w:t>
            </w:r>
            <w:r w:rsidRPr="00A50F03">
              <w:rPr>
                <w:color w:val="auto"/>
                <w:lang w:eastAsia="en-US"/>
              </w:rPr>
              <w:t xml:space="preserve"> was</w:t>
            </w:r>
            <w:r>
              <w:rPr>
                <w:color w:val="auto"/>
                <w:lang w:eastAsia="en-US"/>
              </w:rPr>
              <w:t xml:space="preserve"> lower than their peers and t</w:t>
            </w:r>
            <w:r w:rsidRPr="00A50F03">
              <w:rPr>
                <w:color w:val="auto"/>
                <w:lang w:eastAsia="en-US"/>
              </w:rPr>
              <w:t>hese gaps</w:t>
            </w:r>
            <w:r>
              <w:rPr>
                <w:color w:val="auto"/>
                <w:lang w:eastAsia="en-US"/>
              </w:rPr>
              <w:t xml:space="preserve"> are in line with previous years but remains a priority for 2021-22. </w:t>
            </w:r>
          </w:p>
          <w:p w14:paraId="3AFEBF94" w14:textId="63A83E29" w:rsidR="00886967" w:rsidRDefault="003F0CB8" w:rsidP="0010241A">
            <w:pPr>
              <w:suppressAutoHyphens w:val="0"/>
              <w:autoSpaceDN/>
              <w:spacing w:after="120"/>
              <w:rPr>
                <w:rStyle w:val="normaltextrun"/>
                <w:rFonts w:cs="Arial"/>
                <w:color w:val="auto"/>
                <w:shd w:val="clear" w:color="auto" w:fill="FFFFFF"/>
              </w:rPr>
            </w:pPr>
            <w:r>
              <w:rPr>
                <w:rStyle w:val="normaltextrun"/>
                <w:rFonts w:cs="Arial"/>
                <w:color w:val="auto"/>
              </w:rPr>
              <w:t xml:space="preserve">Our assessments </w:t>
            </w:r>
            <w:r w:rsidR="00886967" w:rsidRPr="00A50F03">
              <w:rPr>
                <w:rStyle w:val="normaltextrun"/>
                <w:rFonts w:cs="Arial"/>
                <w:color w:val="auto"/>
              </w:rPr>
              <w:t xml:space="preserve">demonstrated that </w:t>
            </w:r>
            <w:r w:rsidR="00595769">
              <w:rPr>
                <w:rStyle w:val="normaltextrun"/>
                <w:rFonts w:cs="Arial"/>
                <w:color w:val="auto"/>
              </w:rPr>
              <w:t>student</w:t>
            </w:r>
            <w:r w:rsidR="00886967" w:rsidRPr="00A50F03">
              <w:rPr>
                <w:rStyle w:val="normaltextrun"/>
                <w:rFonts w:cs="Arial"/>
                <w:color w:val="auto"/>
              </w:rPr>
              <w:t> behaviour, wellbeing and mental health were significantly impacted last year, primarily due to COVID-19-related issues. The impact was particularly acu</w:t>
            </w:r>
            <w:r>
              <w:rPr>
                <w:rStyle w:val="normaltextrun"/>
                <w:rFonts w:cs="Arial"/>
                <w:color w:val="auto"/>
              </w:rPr>
              <w:t>te for Disadvantaged Students</w:t>
            </w:r>
            <w:r w:rsidR="00886967">
              <w:rPr>
                <w:rStyle w:val="normaltextrun"/>
                <w:rFonts w:cs="Arial"/>
                <w:color w:val="auto"/>
              </w:rPr>
              <w:t>. As a result of this</w:t>
            </w:r>
            <w:r>
              <w:rPr>
                <w:rStyle w:val="normaltextrun"/>
                <w:rFonts w:cs="Arial"/>
                <w:color w:val="auto"/>
              </w:rPr>
              <w:t>,</w:t>
            </w:r>
            <w:r w:rsidR="00886967">
              <w:rPr>
                <w:rStyle w:val="normaltextrun"/>
                <w:rFonts w:cs="Arial"/>
                <w:color w:val="auto"/>
              </w:rPr>
              <w:t xml:space="preserve"> we will use</w:t>
            </w:r>
            <w:r w:rsidR="00886967" w:rsidRPr="00A50F03">
              <w:rPr>
                <w:rStyle w:val="normaltextrun"/>
                <w:rFonts w:cs="Arial"/>
                <w:color w:val="auto"/>
              </w:rPr>
              <w:t xml:space="preserve"> pupil premium funding to provide </w:t>
            </w:r>
            <w:r>
              <w:rPr>
                <w:rStyle w:val="normaltextrun"/>
                <w:rFonts w:cs="Arial"/>
                <w:color w:val="auto"/>
              </w:rPr>
              <w:t>wellbeing support for all students</w:t>
            </w:r>
            <w:r w:rsidR="00886967" w:rsidRPr="00A50F03">
              <w:rPr>
                <w:rStyle w:val="normaltextrun"/>
                <w:rFonts w:cs="Arial"/>
                <w:color w:val="auto"/>
              </w:rPr>
              <w:t>, and targeted interventions where required. We are building on that approach in our new plan</w:t>
            </w:r>
            <w:r w:rsidR="00886967">
              <w:rPr>
                <w:rStyle w:val="normaltextrun"/>
                <w:rFonts w:cs="Arial"/>
                <w:color w:val="auto"/>
              </w:rPr>
              <w:t xml:space="preserve"> </w:t>
            </w:r>
            <w:r w:rsidR="00886967">
              <w:rPr>
                <w:rStyle w:val="normaltextrun"/>
                <w:rFonts w:cs="Arial"/>
                <w:color w:val="auto"/>
              </w:rPr>
              <w:lastRenderedPageBreak/>
              <w:t>for behaviour which aims to focus on fostering relationships with students, coach and correct behaviour as well as nurturing the growth of model citizens of the 21</w:t>
            </w:r>
            <w:r w:rsidR="00886967" w:rsidRPr="001C4152">
              <w:rPr>
                <w:rStyle w:val="normaltextrun"/>
                <w:rFonts w:cs="Arial"/>
                <w:color w:val="auto"/>
                <w:vertAlign w:val="superscript"/>
              </w:rPr>
              <w:t>st</w:t>
            </w:r>
            <w:r w:rsidR="00886967">
              <w:rPr>
                <w:rStyle w:val="normaltextrun"/>
                <w:rFonts w:cs="Arial"/>
                <w:color w:val="auto"/>
              </w:rPr>
              <w:t xml:space="preserve"> century. </w:t>
            </w:r>
          </w:p>
          <w:p w14:paraId="5A085CF7" w14:textId="77777777" w:rsidR="00886967" w:rsidRPr="00352176" w:rsidRDefault="00886967" w:rsidP="0010241A">
            <w:pPr>
              <w:pStyle w:val="TableRow"/>
              <w:ind w:left="0"/>
              <w:rPr>
                <w:rStyle w:val="PlaceholderText"/>
                <w:color w:val="000000" w:themeColor="text1"/>
              </w:rPr>
            </w:pPr>
          </w:p>
        </w:tc>
      </w:tr>
    </w:tbl>
    <w:p w14:paraId="67BA6778" w14:textId="77777777" w:rsidR="005D7421" w:rsidRDefault="005D7421" w:rsidP="00886967">
      <w:pPr>
        <w:pStyle w:val="Heading2"/>
        <w:spacing w:before="600"/>
      </w:pPr>
    </w:p>
    <w:p w14:paraId="752063B9" w14:textId="77777777" w:rsidR="00886967" w:rsidRDefault="00886967" w:rsidP="00886967">
      <w:pPr>
        <w:pStyle w:val="Heading2"/>
        <w:spacing w:before="600"/>
      </w:pPr>
      <w:r>
        <w:t>Externally provided programmes</w:t>
      </w:r>
    </w:p>
    <w:p w14:paraId="769E9715" w14:textId="77777777" w:rsidR="00886967" w:rsidRDefault="00886967" w:rsidP="0088696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83"/>
        <w:gridCol w:w="4433"/>
      </w:tblGrid>
      <w:tr w:rsidR="00886967" w14:paraId="072B1AE2"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16E99B" w14:textId="77777777" w:rsidR="00886967" w:rsidRDefault="00886967" w:rsidP="0010241A">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0CA538" w14:textId="77777777" w:rsidR="00886967" w:rsidRDefault="00886967" w:rsidP="0010241A">
            <w:pPr>
              <w:pStyle w:val="TableHeader"/>
              <w:jc w:val="left"/>
            </w:pPr>
            <w:r>
              <w:t>Provider</w:t>
            </w:r>
          </w:p>
        </w:tc>
      </w:tr>
      <w:tr w:rsidR="00886967" w14:paraId="50D5F891"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F2CC" w14:textId="77777777" w:rsidR="00886967" w:rsidRDefault="00886967" w:rsidP="0010241A">
            <w:pPr>
              <w:pStyle w:val="TableRow"/>
            </w:pPr>
            <w:r>
              <w:t xml:space="preserve">My Tutor – Aimed at supporting year 11 students through the GCSE content in core subjects – English, Maths and Science.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3368" w14:textId="77777777" w:rsidR="00886967" w:rsidRDefault="008D446D" w:rsidP="0010241A">
            <w:pPr>
              <w:pStyle w:val="TableRowCentered"/>
              <w:jc w:val="left"/>
            </w:pPr>
            <w:r>
              <w:t>My Tutor.</w:t>
            </w:r>
            <w:r w:rsidR="00886967">
              <w:t xml:space="preserve"> </w:t>
            </w:r>
          </w:p>
        </w:tc>
      </w:tr>
      <w:tr w:rsidR="00886967" w14:paraId="21D469FB"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DC012" w14:textId="1FBA8B97" w:rsidR="00886967" w:rsidRDefault="00595769" w:rsidP="0010241A">
            <w:pPr>
              <w:pStyle w:val="TableRow"/>
            </w:pPr>
            <w:r>
              <w:t>Online podcasts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E53E0" w14:textId="0DF0C11C" w:rsidR="00886967" w:rsidRDefault="00595769" w:rsidP="0010241A">
            <w:pPr>
              <w:pStyle w:val="TableRowCentered"/>
              <w:jc w:val="left"/>
            </w:pPr>
            <w:proofErr w:type="spellStart"/>
            <w:r>
              <w:t>GCSEPod</w:t>
            </w:r>
            <w:proofErr w:type="spellEnd"/>
          </w:p>
        </w:tc>
      </w:tr>
      <w:tr w:rsidR="008D446D" w14:paraId="3DCFD1CA"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7F19" w14:textId="3052CB48" w:rsidR="008D446D" w:rsidRDefault="00595769" w:rsidP="0010241A">
            <w:pPr>
              <w:pStyle w:val="TableRow"/>
            </w:pPr>
            <w:r>
              <w:t>Raising Standards materials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D5C6" w14:textId="342DC56C" w:rsidR="008D446D" w:rsidRDefault="00595769" w:rsidP="0010241A">
            <w:pPr>
              <w:pStyle w:val="TableRowCentered"/>
              <w:jc w:val="left"/>
            </w:pPr>
            <w:proofErr w:type="spellStart"/>
            <w:r>
              <w:t>PiXL</w:t>
            </w:r>
            <w:proofErr w:type="spellEnd"/>
          </w:p>
        </w:tc>
      </w:tr>
    </w:tbl>
    <w:p w14:paraId="68B00973" w14:textId="77777777" w:rsidR="00886967" w:rsidRDefault="00886967" w:rsidP="00886967">
      <w:pPr>
        <w:pStyle w:val="Heading2"/>
        <w:spacing w:before="600"/>
      </w:pPr>
      <w:r w:rsidRPr="00595769">
        <w:t>Service pupil premium funding (optional)</w:t>
      </w:r>
    </w:p>
    <w:p w14:paraId="44675D2A" w14:textId="77777777" w:rsidR="00886967" w:rsidRDefault="00886967" w:rsidP="0088696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581"/>
        <w:gridCol w:w="4435"/>
      </w:tblGrid>
      <w:tr w:rsidR="00886967" w14:paraId="735A1794"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6DECAC" w14:textId="77777777" w:rsidR="00886967" w:rsidRDefault="00886967" w:rsidP="0010241A">
            <w:pPr>
              <w:pStyle w:val="TableHeader"/>
              <w:jc w:val="left"/>
            </w:pPr>
            <w:bookmarkStart w:id="0"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1D6936" w14:textId="77777777" w:rsidR="00886967" w:rsidRDefault="00886967" w:rsidP="0010241A">
            <w:pPr>
              <w:pStyle w:val="TableHeader"/>
              <w:jc w:val="left"/>
            </w:pPr>
            <w:r>
              <w:rPr>
                <w:bCs/>
              </w:rPr>
              <w:t xml:space="preserve">Details </w:t>
            </w:r>
          </w:p>
        </w:tc>
      </w:tr>
      <w:tr w:rsidR="00886967" w14:paraId="2865A6CD"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7763C" w14:textId="77777777" w:rsidR="00886967" w:rsidRDefault="00886967" w:rsidP="0010241A">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C42B" w14:textId="77777777" w:rsidR="00886967" w:rsidRDefault="008D446D" w:rsidP="0010241A">
            <w:pPr>
              <w:pStyle w:val="TableRowCentered"/>
              <w:jc w:val="left"/>
            </w:pPr>
            <w:r>
              <w:t xml:space="preserve">NA </w:t>
            </w:r>
          </w:p>
        </w:tc>
      </w:tr>
      <w:tr w:rsidR="00886967" w14:paraId="457F635B" w14:textId="77777777" w:rsidTr="0010241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BFA4" w14:textId="77777777" w:rsidR="00886967" w:rsidRDefault="00886967" w:rsidP="0010241A">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E720" w14:textId="77777777" w:rsidR="00886967" w:rsidRDefault="008D446D" w:rsidP="0010241A">
            <w:pPr>
              <w:pStyle w:val="TableRowCentered"/>
              <w:jc w:val="left"/>
            </w:pPr>
            <w:r>
              <w:t xml:space="preserve">NA </w:t>
            </w:r>
          </w:p>
        </w:tc>
      </w:tr>
      <w:bookmarkEnd w:id="0"/>
    </w:tbl>
    <w:p w14:paraId="431384C2" w14:textId="77777777" w:rsidR="00886967" w:rsidRDefault="00886967" w:rsidP="00886967"/>
    <w:p w14:paraId="5ED8D320" w14:textId="77777777" w:rsidR="00886967" w:rsidRDefault="00886967" w:rsidP="00886967">
      <w:pPr>
        <w:spacing w:after="0" w:line="240" w:lineRule="auto"/>
      </w:pPr>
    </w:p>
    <w:p w14:paraId="3F286BDC" w14:textId="77777777" w:rsidR="00FC2803" w:rsidRDefault="00595769"/>
    <w:sectPr w:rsidR="00FC2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42CA"/>
    <w:multiLevelType w:val="hybridMultilevel"/>
    <w:tmpl w:val="4036BB4C"/>
    <w:lvl w:ilvl="0" w:tplc="3E3E28CA">
      <w:start w:val="96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362D7"/>
    <w:multiLevelType w:val="hybridMultilevel"/>
    <w:tmpl w:val="FC5AD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67"/>
    <w:rsid w:val="00042638"/>
    <w:rsid w:val="000D011A"/>
    <w:rsid w:val="00152466"/>
    <w:rsid w:val="00192C37"/>
    <w:rsid w:val="00236539"/>
    <w:rsid w:val="003B468E"/>
    <w:rsid w:val="003F0CB8"/>
    <w:rsid w:val="004C7461"/>
    <w:rsid w:val="004E00B0"/>
    <w:rsid w:val="00595769"/>
    <w:rsid w:val="005A28A1"/>
    <w:rsid w:val="005D7421"/>
    <w:rsid w:val="005F2F66"/>
    <w:rsid w:val="00605666"/>
    <w:rsid w:val="007A68C3"/>
    <w:rsid w:val="00886967"/>
    <w:rsid w:val="008D446D"/>
    <w:rsid w:val="00A15761"/>
    <w:rsid w:val="00A93A87"/>
    <w:rsid w:val="00DC58BC"/>
    <w:rsid w:val="00DD1722"/>
    <w:rsid w:val="00E74093"/>
    <w:rsid w:val="00E8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4D38"/>
  <w15:chartTrackingRefBased/>
  <w15:docId w15:val="{9C02F310-54EA-4696-8233-299BC121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67"/>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886967"/>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886967"/>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967"/>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886967"/>
    <w:rPr>
      <w:rFonts w:ascii="Arial" w:eastAsia="Times New Roman" w:hAnsi="Arial" w:cs="Times New Roman"/>
      <w:b/>
      <w:color w:val="104F75"/>
      <w:sz w:val="32"/>
      <w:szCs w:val="32"/>
      <w:lang w:eastAsia="en-GB"/>
    </w:rPr>
  </w:style>
  <w:style w:type="paragraph" w:styleId="ListParagraph">
    <w:name w:val="List Paragraph"/>
    <w:basedOn w:val="Normal"/>
    <w:rsid w:val="00886967"/>
    <w:pPr>
      <w:numPr>
        <w:numId w:val="1"/>
      </w:numPr>
      <w:contextualSpacing/>
    </w:pPr>
  </w:style>
  <w:style w:type="paragraph" w:customStyle="1" w:styleId="TableHeader">
    <w:name w:val="TableHeader"/>
    <w:rsid w:val="00886967"/>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86967"/>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86967"/>
    <w:pPr>
      <w:jc w:val="center"/>
    </w:pPr>
    <w:rPr>
      <w:szCs w:val="20"/>
    </w:rPr>
  </w:style>
  <w:style w:type="numbering" w:customStyle="1" w:styleId="LFO25">
    <w:name w:val="LFO25"/>
    <w:basedOn w:val="NoList"/>
    <w:rsid w:val="00886967"/>
    <w:pPr>
      <w:numPr>
        <w:numId w:val="1"/>
      </w:numPr>
    </w:pPr>
  </w:style>
  <w:style w:type="character" w:styleId="PlaceholderText">
    <w:name w:val="Placeholder Text"/>
    <w:basedOn w:val="DefaultParagraphFont"/>
    <w:rsid w:val="00886967"/>
    <w:rPr>
      <w:color w:val="808080"/>
    </w:rPr>
  </w:style>
  <w:style w:type="character" w:customStyle="1" w:styleId="normaltextrun">
    <w:name w:val="normaltextrun"/>
    <w:basedOn w:val="DefaultParagraphFont"/>
    <w:rsid w:val="00886967"/>
  </w:style>
  <w:style w:type="table" w:styleId="TableGrid">
    <w:name w:val="Table Grid"/>
    <w:basedOn w:val="TableNormal"/>
    <w:uiPriority w:val="39"/>
    <w:rsid w:val="00886967"/>
    <w:pPr>
      <w:autoSpaceDN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2148</Words>
  <Characters>12249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LLICT</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Cooke</dc:creator>
  <cp:keywords/>
  <dc:description/>
  <cp:lastModifiedBy>Greg Williams</cp:lastModifiedBy>
  <cp:revision>2</cp:revision>
  <dcterms:created xsi:type="dcterms:W3CDTF">2021-11-23T18:06:00Z</dcterms:created>
  <dcterms:modified xsi:type="dcterms:W3CDTF">2021-11-23T18:06:00Z</dcterms:modified>
</cp:coreProperties>
</file>